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655E05D6" w14:textId="77777777" w:rsidR="00095F66" w:rsidRPr="008D5F9A" w:rsidRDefault="00B63FD4" w:rsidP="00095F66">
          <w:pPr>
            <w:rPr>
              <w:szCs w:val="20"/>
            </w:rPr>
          </w:pPr>
          <w:r>
            <w:rPr>
              <w:noProof/>
            </w:rPr>
            <w:drawing>
              <wp:inline distT="0" distB="0" distL="0" distR="0" wp14:anchorId="615ACBFB" wp14:editId="73503BF0">
                <wp:extent cx="3480435" cy="600075"/>
                <wp:effectExtent l="0" t="0" r="5715" b="0"/>
                <wp:docPr id="3" name="Graphic 3"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partment of Children, Youth, and Families logo"/>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80435" cy="600075"/>
                        </a:xfrm>
                        <a:prstGeom prst="rect">
                          <a:avLst/>
                        </a:prstGeom>
                      </pic:spPr>
                    </pic:pic>
                  </a:graphicData>
                </a:graphic>
              </wp:inline>
            </w:drawing>
          </w:r>
        </w:p>
      </w:sdtContent>
    </w:sdt>
    <w:p w14:paraId="7D3F0592" w14:textId="61ED6815" w:rsidR="003F3203" w:rsidRDefault="003F3203" w:rsidP="003F3203">
      <w:pPr>
        <w:pStyle w:val="Heading1"/>
      </w:pPr>
      <w:r>
        <w:t>Early Childhood Facilities Grant Program Questions and Answers</w:t>
      </w:r>
    </w:p>
    <w:p w14:paraId="4CDD2770" w14:textId="6ECBD225" w:rsidR="004201D2" w:rsidRPr="004201D2" w:rsidRDefault="004201D2" w:rsidP="004201D2">
      <w:pPr>
        <w:pStyle w:val="Heading4"/>
        <w:tabs>
          <w:tab w:val="left" w:pos="1260"/>
        </w:tabs>
        <w:ind w:left="1260" w:hanging="1260"/>
        <w:rPr>
          <w:b w:val="0"/>
          <w:bCs w:val="0"/>
        </w:rPr>
      </w:pPr>
      <w:r>
        <w:t xml:space="preserve">Question: </w:t>
      </w:r>
      <w:r>
        <w:tab/>
      </w:r>
      <w:r>
        <w:rPr>
          <w:b w:val="0"/>
          <w:bCs w:val="0"/>
        </w:rPr>
        <w:t>Does the facility need to be government owned?</w:t>
      </w:r>
    </w:p>
    <w:p w14:paraId="5B3EDDDC" w14:textId="57FAF6F8" w:rsidR="004201D2" w:rsidRPr="004201D2" w:rsidRDefault="004201D2" w:rsidP="004201D2">
      <w:pPr>
        <w:tabs>
          <w:tab w:val="left" w:pos="1260"/>
        </w:tabs>
        <w:ind w:left="1260" w:hanging="1260"/>
      </w:pPr>
      <w:r>
        <w:rPr>
          <w:b/>
          <w:bCs/>
          <w:sz w:val="24"/>
          <w:szCs w:val="24"/>
        </w:rPr>
        <w:t xml:space="preserve">Answer: </w:t>
      </w:r>
      <w:r>
        <w:rPr>
          <w:b/>
          <w:bCs/>
          <w:sz w:val="24"/>
          <w:szCs w:val="24"/>
        </w:rPr>
        <w:tab/>
      </w:r>
      <w:r>
        <w:rPr>
          <w:sz w:val="24"/>
          <w:szCs w:val="24"/>
        </w:rPr>
        <w:t>Yes, the facility must be owned by a state agency or political subdivision; however, the programs within the facility may be operated by a private and/or nonprofit entity under a use agreement with the state agency or political subdivision. (RFP clause 2.1 B)</w:t>
      </w:r>
    </w:p>
    <w:p w14:paraId="15D22986" w14:textId="48BD4B73" w:rsidR="004201D2" w:rsidRPr="00C937CF" w:rsidRDefault="004201D2" w:rsidP="004201D2">
      <w:pPr>
        <w:pStyle w:val="Heading4"/>
        <w:tabs>
          <w:tab w:val="left" w:pos="1260"/>
        </w:tabs>
        <w:ind w:left="1260" w:hanging="1260"/>
        <w:rPr>
          <w:b w:val="0"/>
          <w:bCs w:val="0"/>
        </w:rPr>
      </w:pPr>
      <w:r>
        <w:t xml:space="preserve">Question: </w:t>
      </w:r>
      <w:r>
        <w:tab/>
      </w:r>
      <w:r>
        <w:rPr>
          <w:b w:val="0"/>
          <w:bCs w:val="0"/>
        </w:rPr>
        <w:t>What counts as a political subdivision?</w:t>
      </w:r>
    </w:p>
    <w:p w14:paraId="3A8FC309" w14:textId="2414BF16" w:rsidR="004201D2" w:rsidRPr="00534A61" w:rsidRDefault="004201D2" w:rsidP="004201D2">
      <w:pPr>
        <w:tabs>
          <w:tab w:val="left" w:pos="1260"/>
        </w:tabs>
        <w:ind w:left="1260" w:hanging="1260"/>
      </w:pPr>
      <w:r>
        <w:rPr>
          <w:b/>
          <w:bCs/>
          <w:sz w:val="24"/>
          <w:szCs w:val="24"/>
        </w:rPr>
        <w:t xml:space="preserve">Answer: </w:t>
      </w:r>
      <w:r>
        <w:rPr>
          <w:b/>
          <w:bCs/>
          <w:sz w:val="24"/>
          <w:szCs w:val="24"/>
        </w:rPr>
        <w:tab/>
      </w:r>
      <w:r w:rsidR="00534A61">
        <w:rPr>
          <w:sz w:val="24"/>
          <w:szCs w:val="24"/>
        </w:rPr>
        <w:t>A political subdivision may be a county, city, town or school district.</w:t>
      </w:r>
    </w:p>
    <w:p w14:paraId="5E1FB4E4" w14:textId="5D3AEB56" w:rsidR="00AD6570" w:rsidRPr="00AD6570" w:rsidRDefault="00AD6570" w:rsidP="00AD6570">
      <w:pPr>
        <w:pStyle w:val="Heading4"/>
        <w:tabs>
          <w:tab w:val="left" w:pos="1260"/>
        </w:tabs>
        <w:ind w:left="1260" w:hanging="1260"/>
        <w:rPr>
          <w:b w:val="0"/>
          <w:bCs w:val="0"/>
        </w:rPr>
      </w:pPr>
      <w:r>
        <w:t xml:space="preserve">Question: </w:t>
      </w:r>
      <w:r>
        <w:tab/>
      </w:r>
      <w:r>
        <w:rPr>
          <w:b w:val="0"/>
          <w:bCs w:val="0"/>
        </w:rPr>
        <w:t xml:space="preserve">Are entities owned and governed by one or more political subdivisions eligible to apply for this grant </w:t>
      </w:r>
      <w:r w:rsidR="006B63AB">
        <w:rPr>
          <w:b w:val="0"/>
          <w:bCs w:val="0"/>
        </w:rPr>
        <w:t xml:space="preserve">as the lead applicant </w:t>
      </w:r>
      <w:r>
        <w:rPr>
          <w:b w:val="0"/>
          <w:bCs w:val="0"/>
        </w:rPr>
        <w:t>or should the applicant be one of the governing bodies?</w:t>
      </w:r>
    </w:p>
    <w:p w14:paraId="016B691F" w14:textId="4D3B54DA" w:rsidR="00AD6570" w:rsidRPr="003F3203" w:rsidRDefault="00AD6570" w:rsidP="00AD6570">
      <w:pPr>
        <w:tabs>
          <w:tab w:val="left" w:pos="1260"/>
        </w:tabs>
        <w:ind w:left="1260" w:hanging="1260"/>
      </w:pPr>
      <w:r>
        <w:rPr>
          <w:b/>
          <w:bCs/>
          <w:sz w:val="24"/>
          <w:szCs w:val="24"/>
        </w:rPr>
        <w:t xml:space="preserve">Answer: </w:t>
      </w:r>
      <w:r>
        <w:rPr>
          <w:b/>
          <w:bCs/>
          <w:sz w:val="24"/>
          <w:szCs w:val="24"/>
        </w:rPr>
        <w:tab/>
      </w:r>
      <w:r w:rsidR="001E09A4" w:rsidRPr="001E09A4">
        <w:rPr>
          <w:rFonts w:eastAsiaTheme="minorHAnsi" w:cstheme="minorHAnsi"/>
          <w:sz w:val="24"/>
          <w:szCs w:val="24"/>
        </w:rPr>
        <w:t>Applicants must be a political subdivision of the state or state agency. The public entity must be the lead applicant and own the facility to be constructed or renovated. Collaboration with community partners is encouraged and should be demonstrated in the application.</w:t>
      </w:r>
    </w:p>
    <w:p w14:paraId="63FCA322" w14:textId="521FFA12" w:rsidR="003F3203" w:rsidRPr="003F3203" w:rsidRDefault="003F3203" w:rsidP="003F3203">
      <w:pPr>
        <w:pStyle w:val="Heading4"/>
        <w:tabs>
          <w:tab w:val="left" w:pos="1260"/>
        </w:tabs>
        <w:ind w:left="1260" w:hanging="1260"/>
        <w:rPr>
          <w:b w:val="0"/>
          <w:bCs w:val="0"/>
        </w:rPr>
      </w:pPr>
      <w:r>
        <w:t xml:space="preserve">Question: </w:t>
      </w:r>
      <w:r>
        <w:tab/>
      </w:r>
      <w:r>
        <w:rPr>
          <w:b w:val="0"/>
          <w:bCs w:val="0"/>
        </w:rPr>
        <w:t xml:space="preserve">Our organization is planning a Early Childcare capital building in 2026, do we need to have an </w:t>
      </w:r>
      <w:r w:rsidR="00C937CF">
        <w:rPr>
          <w:b w:val="0"/>
          <w:bCs w:val="0"/>
        </w:rPr>
        <w:t>E</w:t>
      </w:r>
      <w:r>
        <w:rPr>
          <w:b w:val="0"/>
          <w:bCs w:val="0"/>
        </w:rPr>
        <w:t xml:space="preserve">arly </w:t>
      </w:r>
      <w:r w:rsidR="00C937CF">
        <w:rPr>
          <w:b w:val="0"/>
          <w:bCs w:val="0"/>
        </w:rPr>
        <w:t>C</w:t>
      </w:r>
      <w:r>
        <w:rPr>
          <w:b w:val="0"/>
          <w:bCs w:val="0"/>
        </w:rPr>
        <w:t>hildcare provider contracted or be a licensed contractor to apply for this grant?</w:t>
      </w:r>
    </w:p>
    <w:p w14:paraId="401F41D2" w14:textId="5CD8B8A5" w:rsidR="001E09A4" w:rsidRPr="00751C9A" w:rsidRDefault="003F3203" w:rsidP="001E09A4">
      <w:pPr>
        <w:tabs>
          <w:tab w:val="left" w:pos="1260"/>
        </w:tabs>
        <w:ind w:left="1260" w:hanging="1260"/>
      </w:pPr>
      <w:r>
        <w:rPr>
          <w:b/>
          <w:bCs/>
          <w:sz w:val="24"/>
          <w:szCs w:val="24"/>
        </w:rPr>
        <w:t xml:space="preserve">Answer: </w:t>
      </w:r>
      <w:r>
        <w:rPr>
          <w:b/>
          <w:bCs/>
          <w:sz w:val="24"/>
          <w:szCs w:val="24"/>
        </w:rPr>
        <w:tab/>
      </w:r>
      <w:r w:rsidR="001E09A4" w:rsidRPr="001E09A4">
        <w:rPr>
          <w:sz w:val="24"/>
          <w:szCs w:val="24"/>
        </w:rPr>
        <w:t>No. A “use agreement” between the applying entity and early childhood program(s) is not required at the time of application. However, the renovated or newly constructed early childhood space(s</w:t>
      </w:r>
      <w:r w:rsidR="001E09A4" w:rsidRPr="00E80064">
        <w:rPr>
          <w:sz w:val="24"/>
          <w:szCs w:val="24"/>
        </w:rPr>
        <w:t xml:space="preserve">) must be </w:t>
      </w:r>
      <w:r w:rsidR="00F97573" w:rsidRPr="00E80064">
        <w:rPr>
          <w:sz w:val="24"/>
          <w:szCs w:val="24"/>
        </w:rPr>
        <w:t xml:space="preserve">completed and </w:t>
      </w:r>
      <w:r w:rsidR="001E09A4" w:rsidRPr="00E80064">
        <w:rPr>
          <w:sz w:val="24"/>
          <w:szCs w:val="24"/>
        </w:rPr>
        <w:t xml:space="preserve">fully operational by December 31, </w:t>
      </w:r>
      <w:r w:rsidR="00177D7E" w:rsidRPr="00E80064">
        <w:rPr>
          <w:sz w:val="24"/>
          <w:szCs w:val="24"/>
        </w:rPr>
        <w:t xml:space="preserve">2029. </w:t>
      </w:r>
      <w:r w:rsidR="001E09A4" w:rsidRPr="00E80064">
        <w:rPr>
          <w:sz w:val="24"/>
          <w:szCs w:val="24"/>
        </w:rPr>
        <w:t xml:space="preserve">Plans on how to ensure </w:t>
      </w:r>
      <w:r w:rsidR="00177D7E" w:rsidRPr="00E80064">
        <w:rPr>
          <w:sz w:val="24"/>
          <w:szCs w:val="24"/>
        </w:rPr>
        <w:t>grant agreement</w:t>
      </w:r>
      <w:r w:rsidR="001E09A4" w:rsidRPr="00E80064">
        <w:rPr>
          <w:sz w:val="24"/>
          <w:szCs w:val="24"/>
        </w:rPr>
        <w:t xml:space="preserve"> requirements </w:t>
      </w:r>
      <w:r w:rsidR="00177D7E" w:rsidRPr="00E80064">
        <w:rPr>
          <w:sz w:val="24"/>
          <w:szCs w:val="24"/>
        </w:rPr>
        <w:t>will be</w:t>
      </w:r>
      <w:r w:rsidR="001E09A4" w:rsidRPr="00E80064">
        <w:rPr>
          <w:sz w:val="24"/>
          <w:szCs w:val="24"/>
        </w:rPr>
        <w:t xml:space="preserve"> met should be demonstrated in the application. </w:t>
      </w:r>
    </w:p>
    <w:p w14:paraId="716E65F8" w14:textId="1A578CCC" w:rsidR="003F3203" w:rsidRPr="00AD6570" w:rsidRDefault="003F3203" w:rsidP="00AD6570">
      <w:pPr>
        <w:pStyle w:val="Heading4"/>
        <w:tabs>
          <w:tab w:val="left" w:pos="1260"/>
        </w:tabs>
        <w:ind w:left="1260" w:hanging="1260"/>
        <w:rPr>
          <w:b w:val="0"/>
          <w:bCs w:val="0"/>
        </w:rPr>
      </w:pPr>
      <w:r>
        <w:t xml:space="preserve">Question: </w:t>
      </w:r>
      <w:r>
        <w:tab/>
      </w:r>
      <w:r w:rsidR="00AD6570">
        <w:rPr>
          <w:b w:val="0"/>
          <w:bCs w:val="0"/>
        </w:rPr>
        <w:t>How much funding is available or how much would be anticipated for each grantee award?</w:t>
      </w:r>
    </w:p>
    <w:p w14:paraId="334AD17B" w14:textId="0D2649CC" w:rsidR="003F3203" w:rsidRPr="00C937CF" w:rsidRDefault="003F3203" w:rsidP="00C937CF">
      <w:pPr>
        <w:tabs>
          <w:tab w:val="left" w:pos="1260"/>
        </w:tabs>
        <w:ind w:left="1260" w:hanging="1260"/>
      </w:pPr>
      <w:r>
        <w:rPr>
          <w:b/>
          <w:bCs/>
          <w:sz w:val="24"/>
          <w:szCs w:val="24"/>
        </w:rPr>
        <w:t xml:space="preserve">Answer: </w:t>
      </w:r>
      <w:r>
        <w:rPr>
          <w:b/>
          <w:bCs/>
          <w:sz w:val="24"/>
          <w:szCs w:val="24"/>
        </w:rPr>
        <w:tab/>
      </w:r>
      <w:bookmarkStart w:id="0" w:name="_Hlk197430884"/>
      <w:r w:rsidR="00C937CF">
        <w:rPr>
          <w:sz w:val="24"/>
          <w:szCs w:val="24"/>
        </w:rPr>
        <w:t>There is $900,000 available in total. An individual facility may be awarded up to $500,000 for each</w:t>
      </w:r>
      <w:r w:rsidR="001E09A4">
        <w:rPr>
          <w:sz w:val="24"/>
          <w:szCs w:val="24"/>
        </w:rPr>
        <w:t xml:space="preserve"> early childhood</w:t>
      </w:r>
      <w:r w:rsidR="00C937CF">
        <w:rPr>
          <w:sz w:val="24"/>
          <w:szCs w:val="24"/>
        </w:rPr>
        <w:t xml:space="preserve"> program housed in the facility, with a maximum of $900,000 for facilities housing three or more programs.</w:t>
      </w:r>
      <w:bookmarkEnd w:id="0"/>
      <w:r w:rsidR="00C937CF">
        <w:rPr>
          <w:sz w:val="24"/>
          <w:szCs w:val="24"/>
        </w:rPr>
        <w:t xml:space="preserve"> (RFP clause 1.4)</w:t>
      </w:r>
    </w:p>
    <w:p w14:paraId="7E505267" w14:textId="032B423B" w:rsidR="00AD6570" w:rsidRPr="00AD6570" w:rsidRDefault="003F3203" w:rsidP="00AD6570">
      <w:pPr>
        <w:pStyle w:val="Heading4"/>
        <w:tabs>
          <w:tab w:val="left" w:pos="1260"/>
        </w:tabs>
        <w:ind w:left="1260" w:hanging="1260"/>
        <w:rPr>
          <w:b w:val="0"/>
          <w:bCs w:val="0"/>
        </w:rPr>
      </w:pPr>
      <w:r>
        <w:lastRenderedPageBreak/>
        <w:t xml:space="preserve">Question: </w:t>
      </w:r>
      <w:r>
        <w:tab/>
      </w:r>
      <w:r w:rsidR="00AD6570">
        <w:rPr>
          <w:b w:val="0"/>
          <w:bCs w:val="0"/>
        </w:rPr>
        <w:t>Once the project is constructed, what is the expectation of the facility and contracting with Early Childhood providers?</w:t>
      </w:r>
    </w:p>
    <w:p w14:paraId="4E9A370B" w14:textId="561DB2CD" w:rsidR="00AD6570" w:rsidRPr="00C937CF" w:rsidRDefault="003F3203" w:rsidP="00AD6570">
      <w:pPr>
        <w:tabs>
          <w:tab w:val="left" w:pos="1260"/>
        </w:tabs>
        <w:ind w:left="1260" w:hanging="1260"/>
        <w:rPr>
          <w:sz w:val="24"/>
          <w:szCs w:val="24"/>
        </w:rPr>
      </w:pPr>
      <w:r>
        <w:rPr>
          <w:b/>
          <w:bCs/>
          <w:sz w:val="24"/>
          <w:szCs w:val="24"/>
        </w:rPr>
        <w:t xml:space="preserve">Answer: </w:t>
      </w:r>
      <w:r>
        <w:rPr>
          <w:b/>
          <w:bCs/>
          <w:sz w:val="24"/>
          <w:szCs w:val="24"/>
        </w:rPr>
        <w:tab/>
      </w:r>
      <w:r w:rsidR="001E09A4" w:rsidRPr="001E09A4">
        <w:rPr>
          <w:sz w:val="24"/>
          <w:szCs w:val="24"/>
        </w:rPr>
        <w:t xml:space="preserve">The renovated or newly constructed early childhood space(s) must be fully operational and serving children and families by December 31, 2029. </w:t>
      </w:r>
      <w:r w:rsidR="00BE613C">
        <w:rPr>
          <w:sz w:val="24"/>
          <w:szCs w:val="24"/>
        </w:rPr>
        <w:t xml:space="preserve">However, a grant contract will not be executed by DCYF until a provider is in hand, and if applicable, a use agreement is executed and in place. </w:t>
      </w:r>
      <w:r w:rsidR="001E09A4" w:rsidRPr="001E09A4">
        <w:rPr>
          <w:sz w:val="24"/>
          <w:szCs w:val="24"/>
        </w:rPr>
        <w:t xml:space="preserve">Plans on how </w:t>
      </w:r>
      <w:r w:rsidR="001E09A4" w:rsidRPr="00E80064">
        <w:rPr>
          <w:sz w:val="24"/>
          <w:szCs w:val="24"/>
        </w:rPr>
        <w:t xml:space="preserve">to ensure </w:t>
      </w:r>
      <w:r w:rsidR="00177D7E" w:rsidRPr="00E80064">
        <w:rPr>
          <w:sz w:val="24"/>
          <w:szCs w:val="24"/>
        </w:rPr>
        <w:t xml:space="preserve">all grant agreement </w:t>
      </w:r>
      <w:r w:rsidR="001E09A4" w:rsidRPr="00E80064">
        <w:rPr>
          <w:sz w:val="24"/>
          <w:szCs w:val="24"/>
        </w:rPr>
        <w:t>requirements are met should be included in the responder’s application</w:t>
      </w:r>
      <w:r w:rsidR="001E09A4" w:rsidRPr="001E09A4">
        <w:rPr>
          <w:sz w:val="24"/>
          <w:szCs w:val="24"/>
        </w:rPr>
        <w:t>. Per section 2.04 of the</w:t>
      </w:r>
      <w:r w:rsidR="001E09A4" w:rsidRPr="004D784A">
        <w:rPr>
          <w:color w:val="FF0000"/>
          <w:sz w:val="24"/>
          <w:szCs w:val="24"/>
        </w:rPr>
        <w:t xml:space="preserve"> </w:t>
      </w:r>
      <w:hyperlink r:id="rId13" w:history="1">
        <w:r w:rsidR="001E09A4" w:rsidRPr="0065124F">
          <w:rPr>
            <w:rStyle w:val="Hyperlink"/>
            <w:sz w:val="24"/>
            <w:szCs w:val="24"/>
          </w:rPr>
          <w:t>Grant Agreement for Construction Grants</w:t>
        </w:r>
      </w:hyperlink>
      <w:r w:rsidR="001E09A4" w:rsidRPr="001E09A4">
        <w:rPr>
          <w:sz w:val="24"/>
          <w:szCs w:val="24"/>
        </w:rPr>
        <w:t>, any resulting recipient(s) are required to provide annual evidence that bond funds are being utilized</w:t>
      </w:r>
      <w:r w:rsidR="001E09A4" w:rsidRPr="00E80064">
        <w:rPr>
          <w:sz w:val="24"/>
          <w:szCs w:val="24"/>
        </w:rPr>
        <w:t xml:space="preserve"> for the purposes specified and agreed upon in the grant agreement</w:t>
      </w:r>
      <w:r w:rsidR="00177D7E" w:rsidRPr="00E80064">
        <w:rPr>
          <w:sz w:val="24"/>
          <w:szCs w:val="24"/>
        </w:rPr>
        <w:t xml:space="preserve"> including the timeframe outlined </w:t>
      </w:r>
      <w:r w:rsidR="002B75E0" w:rsidRPr="00E80064">
        <w:rPr>
          <w:sz w:val="24"/>
          <w:szCs w:val="24"/>
        </w:rPr>
        <w:t xml:space="preserve">in </w:t>
      </w:r>
      <w:r w:rsidR="00177D7E" w:rsidRPr="00E80064">
        <w:rPr>
          <w:sz w:val="24"/>
          <w:szCs w:val="24"/>
        </w:rPr>
        <w:t>Section 2.11 Term of Grant Agreement.</w:t>
      </w:r>
    </w:p>
    <w:p w14:paraId="07EA4DAF" w14:textId="7B0DE2AC" w:rsidR="003F3203" w:rsidRPr="00290483" w:rsidRDefault="003F3203" w:rsidP="003F3203">
      <w:pPr>
        <w:pStyle w:val="Heading4"/>
        <w:tabs>
          <w:tab w:val="left" w:pos="1260"/>
        </w:tabs>
        <w:ind w:left="1260" w:hanging="1260"/>
        <w:rPr>
          <w:b w:val="0"/>
          <w:bCs w:val="0"/>
        </w:rPr>
      </w:pPr>
      <w:r>
        <w:t xml:space="preserve">Question: </w:t>
      </w:r>
      <w:r>
        <w:tab/>
      </w:r>
      <w:r w:rsidR="00290483">
        <w:rPr>
          <w:b w:val="0"/>
          <w:bCs w:val="0"/>
        </w:rPr>
        <w:t>Do all match funds also need to be spent in the project window between August 2025 and December 2029?</w:t>
      </w:r>
    </w:p>
    <w:p w14:paraId="7376B055" w14:textId="3A12FDF7" w:rsidR="004139DF" w:rsidRPr="000D614A" w:rsidRDefault="003F3203" w:rsidP="000D614A">
      <w:pPr>
        <w:tabs>
          <w:tab w:val="left" w:pos="1260"/>
        </w:tabs>
        <w:ind w:left="1260" w:hanging="1260"/>
        <w:rPr>
          <w:sz w:val="24"/>
          <w:szCs w:val="24"/>
        </w:rPr>
      </w:pPr>
      <w:r>
        <w:rPr>
          <w:b/>
          <w:bCs/>
          <w:sz w:val="24"/>
          <w:szCs w:val="24"/>
        </w:rPr>
        <w:t xml:space="preserve">Answer: </w:t>
      </w:r>
      <w:r>
        <w:rPr>
          <w:b/>
          <w:bCs/>
          <w:sz w:val="24"/>
          <w:szCs w:val="24"/>
        </w:rPr>
        <w:tab/>
      </w:r>
      <w:bookmarkStart w:id="1" w:name="_Hlk198902718"/>
      <w:r w:rsidR="00AC2C7C">
        <w:rPr>
          <w:sz w:val="24"/>
          <w:szCs w:val="24"/>
        </w:rPr>
        <w:t xml:space="preserve">Construction and renovation projects awarded with this grant must be completed and operational by December 31, 2029. Match funds as part of this grant should be spent by December 31, 2029. </w:t>
      </w:r>
      <w:r w:rsidR="0005131C">
        <w:rPr>
          <w:color w:val="FF0000"/>
          <w:sz w:val="24"/>
          <w:szCs w:val="24"/>
        </w:rPr>
        <w:t xml:space="preserve"> </w:t>
      </w:r>
      <w:r w:rsidR="003B57E7">
        <w:rPr>
          <w:color w:val="FF0000"/>
          <w:sz w:val="24"/>
          <w:szCs w:val="24"/>
        </w:rPr>
        <w:t xml:space="preserve"> </w:t>
      </w:r>
      <w:r w:rsidR="004139DF">
        <w:rPr>
          <w:color w:val="FF0000"/>
          <w:sz w:val="24"/>
          <w:szCs w:val="24"/>
        </w:rPr>
        <w:t xml:space="preserve"> </w:t>
      </w:r>
    </w:p>
    <w:p w14:paraId="79DD56FB" w14:textId="32F6637C" w:rsidR="000D614A" w:rsidRPr="00500558" w:rsidRDefault="000D614A" w:rsidP="006A7942">
      <w:pPr>
        <w:tabs>
          <w:tab w:val="left" w:pos="1260"/>
        </w:tabs>
        <w:ind w:left="1260" w:hanging="1260"/>
        <w:rPr>
          <w:sz w:val="24"/>
          <w:szCs w:val="24"/>
        </w:rPr>
      </w:pPr>
      <w:r w:rsidRPr="00500558">
        <w:rPr>
          <w:sz w:val="24"/>
          <w:szCs w:val="24"/>
        </w:rPr>
        <w:tab/>
        <w:t>Yes. All matching funds must be spent within the project window, ending no later than December 31, 2029. Since matching funds are dedicated to the proposed project, they must be fully expended by the project completion date. While proposals should show planning for these funds—even if they are not yet secured—a contract cannot be executed until Minnesota Management and Budget (MMB) verifies that the match is in place. Early verification helps ensure timely contract execution, full use of funds for construction or renovation, and that the early childhood program(s) will be operational by the end of 2029.</w:t>
      </w:r>
    </w:p>
    <w:bookmarkEnd w:id="1"/>
    <w:p w14:paraId="64589095" w14:textId="337CC5F6" w:rsidR="003F3203" w:rsidRPr="00A26148" w:rsidRDefault="003F3203" w:rsidP="006A7942">
      <w:pPr>
        <w:tabs>
          <w:tab w:val="left" w:pos="1260"/>
        </w:tabs>
        <w:ind w:left="1260" w:hanging="1260"/>
        <w:rPr>
          <w:sz w:val="24"/>
          <w:szCs w:val="24"/>
        </w:rPr>
      </w:pPr>
      <w:r w:rsidRPr="003B57E7">
        <w:rPr>
          <w:b/>
          <w:bCs/>
        </w:rPr>
        <w:t xml:space="preserve">Question: </w:t>
      </w:r>
      <w:r w:rsidRPr="00A26148">
        <w:rPr>
          <w:b/>
          <w:bCs/>
          <w:sz w:val="24"/>
          <w:szCs w:val="24"/>
        </w:rPr>
        <w:tab/>
      </w:r>
      <w:r w:rsidR="00500558" w:rsidRPr="00A26148">
        <w:rPr>
          <w:color w:val="003865" w:themeColor="accent1"/>
          <w:sz w:val="24"/>
          <w:szCs w:val="24"/>
        </w:rPr>
        <w:t>Our organization has multiple early childhood services in the proposed facility, would each count as one “program” or would our organization overall count as one “program”?</w:t>
      </w:r>
    </w:p>
    <w:p w14:paraId="4ACBBDDF" w14:textId="5940A6B8" w:rsidR="00F16ACD" w:rsidRPr="00FC1C30" w:rsidRDefault="003F3203" w:rsidP="003F3203">
      <w:pPr>
        <w:tabs>
          <w:tab w:val="left" w:pos="1260"/>
        </w:tabs>
        <w:ind w:left="1260" w:hanging="1260"/>
        <w:rPr>
          <w:sz w:val="24"/>
          <w:szCs w:val="24"/>
        </w:rPr>
      </w:pPr>
      <w:r>
        <w:rPr>
          <w:b/>
          <w:bCs/>
          <w:sz w:val="24"/>
          <w:szCs w:val="24"/>
        </w:rPr>
        <w:t xml:space="preserve">Answer: </w:t>
      </w:r>
      <w:r>
        <w:rPr>
          <w:b/>
          <w:bCs/>
          <w:sz w:val="24"/>
          <w:szCs w:val="24"/>
        </w:rPr>
        <w:tab/>
      </w:r>
      <w:bookmarkStart w:id="2" w:name="_Hlk199340339"/>
      <w:r w:rsidR="00E30A11" w:rsidRPr="00FC1C30">
        <w:rPr>
          <w:sz w:val="24"/>
          <w:szCs w:val="24"/>
        </w:rPr>
        <w:t xml:space="preserve">Determining whether each early childhood service counts as a separate “program” depends on how the services are </w:t>
      </w:r>
      <w:r w:rsidR="00EA116D" w:rsidRPr="00FC1C30">
        <w:rPr>
          <w:sz w:val="24"/>
          <w:szCs w:val="24"/>
        </w:rPr>
        <w:t xml:space="preserve">set up </w:t>
      </w:r>
      <w:r w:rsidR="00E30A11" w:rsidRPr="00FC1C30">
        <w:rPr>
          <w:sz w:val="24"/>
          <w:szCs w:val="24"/>
        </w:rPr>
        <w:t>and delivered within the facility. More</w:t>
      </w:r>
      <w:r w:rsidR="00EA116D" w:rsidRPr="00FC1C30">
        <w:rPr>
          <w:sz w:val="24"/>
          <w:szCs w:val="24"/>
        </w:rPr>
        <w:t xml:space="preserve"> details about </w:t>
      </w:r>
      <w:r w:rsidR="00A266BA" w:rsidRPr="00FC1C30">
        <w:rPr>
          <w:sz w:val="24"/>
          <w:szCs w:val="24"/>
        </w:rPr>
        <w:t>the</w:t>
      </w:r>
      <w:r w:rsidR="00EA116D" w:rsidRPr="00FC1C30">
        <w:rPr>
          <w:sz w:val="24"/>
          <w:szCs w:val="24"/>
        </w:rPr>
        <w:t xml:space="preserve"> organization’s structure</w:t>
      </w:r>
      <w:r w:rsidR="00E30A11" w:rsidRPr="00FC1C30">
        <w:rPr>
          <w:sz w:val="24"/>
          <w:szCs w:val="24"/>
        </w:rPr>
        <w:t xml:space="preserve"> would be needed to </w:t>
      </w:r>
      <w:r w:rsidR="00EA116D" w:rsidRPr="00FC1C30">
        <w:rPr>
          <w:sz w:val="24"/>
          <w:szCs w:val="24"/>
        </w:rPr>
        <w:t>give a</w:t>
      </w:r>
      <w:r w:rsidR="00A266BA" w:rsidRPr="00FC1C30">
        <w:rPr>
          <w:sz w:val="24"/>
          <w:szCs w:val="24"/>
        </w:rPr>
        <w:t xml:space="preserve">n accurate </w:t>
      </w:r>
      <w:r w:rsidR="00EA116D" w:rsidRPr="00FC1C30">
        <w:rPr>
          <w:sz w:val="24"/>
          <w:szCs w:val="24"/>
        </w:rPr>
        <w:t>response</w:t>
      </w:r>
      <w:r w:rsidR="00BC6453" w:rsidRPr="00FC1C30">
        <w:rPr>
          <w:sz w:val="24"/>
          <w:szCs w:val="24"/>
        </w:rPr>
        <w:t>.</w:t>
      </w:r>
      <w:r w:rsidR="00BD1023" w:rsidRPr="00FC1C30">
        <w:rPr>
          <w:sz w:val="24"/>
          <w:szCs w:val="24"/>
        </w:rPr>
        <w:t xml:space="preserve"> </w:t>
      </w:r>
      <w:r w:rsidR="00B6082A" w:rsidRPr="00FC1C30">
        <w:rPr>
          <w:sz w:val="24"/>
          <w:szCs w:val="24"/>
        </w:rPr>
        <w:t>Two</w:t>
      </w:r>
      <w:r w:rsidR="00E30A11" w:rsidRPr="00FC1C30">
        <w:rPr>
          <w:sz w:val="24"/>
          <w:szCs w:val="24"/>
        </w:rPr>
        <w:t xml:space="preserve"> scenarios are listed below to provide clarity</w:t>
      </w:r>
      <w:r w:rsidR="00CB0121" w:rsidRPr="00FC1C30">
        <w:rPr>
          <w:sz w:val="24"/>
          <w:szCs w:val="24"/>
        </w:rPr>
        <w:t xml:space="preserve"> </w:t>
      </w:r>
      <w:r w:rsidR="00A266BA" w:rsidRPr="00FC1C30">
        <w:rPr>
          <w:sz w:val="24"/>
          <w:szCs w:val="24"/>
        </w:rPr>
        <w:t>–</w:t>
      </w:r>
      <w:r w:rsidR="00CB0121" w:rsidRPr="00FC1C30">
        <w:rPr>
          <w:sz w:val="24"/>
          <w:szCs w:val="24"/>
        </w:rPr>
        <w:t xml:space="preserve"> </w:t>
      </w:r>
      <w:r w:rsidR="00A266BA" w:rsidRPr="00FC1C30">
        <w:rPr>
          <w:b/>
          <w:bCs/>
          <w:sz w:val="24"/>
          <w:szCs w:val="24"/>
        </w:rPr>
        <w:t>these are only examples</w:t>
      </w:r>
      <w:r w:rsidR="00A266BA" w:rsidRPr="00FC1C30">
        <w:rPr>
          <w:sz w:val="24"/>
          <w:szCs w:val="24"/>
        </w:rPr>
        <w:t xml:space="preserve"> – there are many other ways a facility might be </w:t>
      </w:r>
      <w:r w:rsidR="00CB0121" w:rsidRPr="00FC1C30">
        <w:rPr>
          <w:sz w:val="24"/>
          <w:szCs w:val="24"/>
        </w:rPr>
        <w:t>structured</w:t>
      </w:r>
      <w:r w:rsidR="00BC6453" w:rsidRPr="00FC1C30">
        <w:rPr>
          <w:sz w:val="24"/>
          <w:szCs w:val="24"/>
        </w:rPr>
        <w:t xml:space="preserve"> (RFP clause 1.4).</w:t>
      </w:r>
      <w:r w:rsidR="00A266BA" w:rsidRPr="00FC1C30">
        <w:rPr>
          <w:sz w:val="24"/>
          <w:szCs w:val="24"/>
        </w:rPr>
        <w:t xml:space="preserve"> </w:t>
      </w:r>
    </w:p>
    <w:p w14:paraId="5DFE61C1" w14:textId="7EF6621E" w:rsidR="00E64B10" w:rsidRPr="00FC1C30" w:rsidRDefault="00E30A11" w:rsidP="00FC1C30">
      <w:pPr>
        <w:tabs>
          <w:tab w:val="left" w:pos="1260"/>
        </w:tabs>
        <w:ind w:left="1260"/>
        <w:rPr>
          <w:sz w:val="24"/>
          <w:szCs w:val="24"/>
        </w:rPr>
      </w:pPr>
      <w:r w:rsidRPr="00FC1C30">
        <w:rPr>
          <w:b/>
          <w:bCs/>
          <w:sz w:val="24"/>
          <w:szCs w:val="24"/>
        </w:rPr>
        <w:t>Example 1:</w:t>
      </w:r>
      <w:r w:rsidR="00E64B10" w:rsidRPr="00FC1C30">
        <w:rPr>
          <w:rFonts w:ascii="Times New Roman" w:hAnsi="Times New Roman"/>
          <w:sz w:val="24"/>
          <w:szCs w:val="24"/>
          <w:lang w:bidi="ar-SA"/>
        </w:rPr>
        <w:t xml:space="preserve"> </w:t>
      </w:r>
      <w:r w:rsidR="00E64B10" w:rsidRPr="00FC1C30">
        <w:rPr>
          <w:sz w:val="24"/>
          <w:szCs w:val="24"/>
        </w:rPr>
        <w:t xml:space="preserve">If a county-owned public building houses three or more early childhood programs at the facility requesting construction or renovation—such as Head Start in Rooms A &amp; B, </w:t>
      </w:r>
      <w:r w:rsidR="005D21C6" w:rsidRPr="00FC1C30">
        <w:rPr>
          <w:sz w:val="24"/>
          <w:szCs w:val="24"/>
        </w:rPr>
        <w:t xml:space="preserve">Early Childhood Family Education (ECFE) </w:t>
      </w:r>
      <w:r w:rsidR="00E64B10" w:rsidRPr="00FC1C30">
        <w:rPr>
          <w:sz w:val="24"/>
          <w:szCs w:val="24"/>
        </w:rPr>
        <w:t xml:space="preserve">in Room C, and a licensed family child care provider in Room D—with appropriate Use Agreements in place, each is </w:t>
      </w:r>
      <w:r w:rsidR="00E64B10" w:rsidRPr="00FC1C30">
        <w:rPr>
          <w:sz w:val="24"/>
          <w:szCs w:val="24"/>
        </w:rPr>
        <w:lastRenderedPageBreak/>
        <w:t>recognized as a separate program. Therefore, the county, as the lead applicant, is eligible to request the full $900,000 available through this RFP.</w:t>
      </w:r>
    </w:p>
    <w:p w14:paraId="02F9056E" w14:textId="0714A44D" w:rsidR="00E64B10" w:rsidRPr="00FC1C30" w:rsidRDefault="00E64B10" w:rsidP="00FC1C30">
      <w:pPr>
        <w:tabs>
          <w:tab w:val="left" w:pos="1260"/>
        </w:tabs>
        <w:ind w:left="1260"/>
        <w:rPr>
          <w:sz w:val="24"/>
          <w:szCs w:val="24"/>
        </w:rPr>
      </w:pPr>
      <w:r w:rsidRPr="00FC1C30">
        <w:rPr>
          <w:sz w:val="24"/>
          <w:szCs w:val="24"/>
        </w:rPr>
        <w:t>Conversely, if all four rooms are used for the same program, such as Head Start, it is considered a single program. In this case, the applicant is eligible to request up to $500,000 through this RFP.</w:t>
      </w:r>
    </w:p>
    <w:p w14:paraId="3C277062" w14:textId="4E3FB3B9" w:rsidR="00E30A11" w:rsidRPr="00FC1C30" w:rsidRDefault="00B518D2" w:rsidP="00FC1C30">
      <w:pPr>
        <w:tabs>
          <w:tab w:val="left" w:pos="1260"/>
        </w:tabs>
        <w:ind w:left="1260"/>
        <w:rPr>
          <w:sz w:val="24"/>
          <w:szCs w:val="24"/>
        </w:rPr>
      </w:pPr>
      <w:r w:rsidRPr="00FC1C30">
        <w:rPr>
          <w:b/>
          <w:bCs/>
          <w:sz w:val="24"/>
          <w:szCs w:val="24"/>
        </w:rPr>
        <w:t>Example 2:</w:t>
      </w:r>
      <w:r w:rsidRPr="00FC1C30">
        <w:rPr>
          <w:sz w:val="24"/>
          <w:szCs w:val="24"/>
        </w:rPr>
        <w:t xml:space="preserve"> </w:t>
      </w:r>
      <w:r w:rsidR="00B6082A" w:rsidRPr="00FC1C30">
        <w:rPr>
          <w:sz w:val="24"/>
          <w:szCs w:val="24"/>
        </w:rPr>
        <w:t>If a public school building, owned by the local school district, houses multiple early childhood programs</w:t>
      </w:r>
      <w:r w:rsidR="00E64B10" w:rsidRPr="00FC1C30">
        <w:rPr>
          <w:sz w:val="24"/>
          <w:szCs w:val="24"/>
        </w:rPr>
        <w:t xml:space="preserve"> at the facility requesting construction or renovation</w:t>
      </w:r>
      <w:r w:rsidR="00B6082A" w:rsidRPr="00FC1C30">
        <w:rPr>
          <w:sz w:val="24"/>
          <w:szCs w:val="24"/>
        </w:rPr>
        <w:t>—such as Preschool in Rooms A &amp; B, Early Childhood Family Education (ECFE) in Room C, and Early Childhood Special Education (ECSE) in Room D—each is considered a separate program. With these programs in place, the school district, as the lead applicant, is eligible to request the full $900,000 available through this RFP.</w:t>
      </w:r>
      <w:r w:rsidR="00E64B10" w:rsidRPr="00FC1C30">
        <w:rPr>
          <w:sz w:val="24"/>
          <w:szCs w:val="24"/>
        </w:rPr>
        <w:t xml:space="preserve"> </w:t>
      </w:r>
    </w:p>
    <w:bookmarkEnd w:id="2"/>
    <w:p w14:paraId="4E4944B1" w14:textId="38AC2687" w:rsidR="003F3203" w:rsidRPr="00A26148" w:rsidRDefault="003F3203" w:rsidP="003F3203">
      <w:pPr>
        <w:pStyle w:val="Heading4"/>
        <w:tabs>
          <w:tab w:val="left" w:pos="1260"/>
        </w:tabs>
        <w:ind w:left="1260" w:hanging="1260"/>
        <w:rPr>
          <w:b w:val="0"/>
          <w:bCs w:val="0"/>
        </w:rPr>
      </w:pPr>
      <w:r>
        <w:t xml:space="preserve">Question: </w:t>
      </w:r>
      <w:r>
        <w:tab/>
      </w:r>
      <w:r w:rsidR="00A26148">
        <w:rPr>
          <w:b w:val="0"/>
          <w:bCs w:val="0"/>
        </w:rPr>
        <w:t>If our application will be submitted by the county would they be the ones to complete the required forms and statements? Would we also need to sign the required statements and forms as well?</w:t>
      </w:r>
    </w:p>
    <w:p w14:paraId="7C0F7C35" w14:textId="202ADCEC" w:rsidR="005A1A5D" w:rsidRPr="00FC1C30" w:rsidRDefault="003F3203" w:rsidP="00997A64">
      <w:pPr>
        <w:tabs>
          <w:tab w:val="left" w:pos="1260"/>
        </w:tabs>
        <w:ind w:left="1260" w:hanging="1260"/>
        <w:rPr>
          <w:sz w:val="24"/>
          <w:szCs w:val="24"/>
        </w:rPr>
      </w:pPr>
      <w:r>
        <w:rPr>
          <w:b/>
          <w:bCs/>
          <w:sz w:val="24"/>
          <w:szCs w:val="24"/>
        </w:rPr>
        <w:t xml:space="preserve">Answer: </w:t>
      </w:r>
      <w:r>
        <w:rPr>
          <w:b/>
          <w:bCs/>
          <w:sz w:val="24"/>
          <w:szCs w:val="24"/>
        </w:rPr>
        <w:tab/>
      </w:r>
      <w:bookmarkStart w:id="3" w:name="_Hlk199340397"/>
      <w:r w:rsidR="005A1A5D" w:rsidRPr="00FC1C30">
        <w:rPr>
          <w:sz w:val="24"/>
          <w:szCs w:val="24"/>
        </w:rPr>
        <w:t xml:space="preserve">The state agency or political subdivision </w:t>
      </w:r>
      <w:r w:rsidR="00652D44" w:rsidRPr="00FC1C30">
        <w:rPr>
          <w:sz w:val="24"/>
          <w:szCs w:val="24"/>
        </w:rPr>
        <w:t xml:space="preserve">responding </w:t>
      </w:r>
      <w:r w:rsidR="005D21C6" w:rsidRPr="00FC1C30">
        <w:rPr>
          <w:sz w:val="24"/>
          <w:szCs w:val="24"/>
        </w:rPr>
        <w:t xml:space="preserve">as the lead applicant </w:t>
      </w:r>
      <w:r w:rsidR="005A1A5D" w:rsidRPr="00FC1C30">
        <w:rPr>
          <w:sz w:val="24"/>
          <w:szCs w:val="24"/>
        </w:rPr>
        <w:t>will be responsible for completing and signing all required forms and statements outlined in Section 3.3 of the RFP guidelines</w:t>
      </w:r>
      <w:r w:rsidR="005D21C6" w:rsidRPr="00FC1C30">
        <w:rPr>
          <w:sz w:val="24"/>
          <w:szCs w:val="24"/>
        </w:rPr>
        <w:t xml:space="preserve">, as the entity assuming </w:t>
      </w:r>
      <w:r w:rsidR="005A1A5D" w:rsidRPr="00FC1C30">
        <w:rPr>
          <w:sz w:val="24"/>
          <w:szCs w:val="24"/>
        </w:rPr>
        <w:t>all contractual and grant-related obligations.</w:t>
      </w:r>
    </w:p>
    <w:p w14:paraId="283B718C" w14:textId="274C8AB9" w:rsidR="005A1A5D" w:rsidRPr="00FC1C30" w:rsidRDefault="005A1A5D" w:rsidP="00FC1C30">
      <w:pPr>
        <w:tabs>
          <w:tab w:val="left" w:pos="1260"/>
        </w:tabs>
        <w:ind w:left="1260"/>
        <w:rPr>
          <w:sz w:val="24"/>
          <w:szCs w:val="24"/>
        </w:rPr>
      </w:pPr>
      <w:r w:rsidRPr="00FC1C30">
        <w:rPr>
          <w:sz w:val="24"/>
          <w:szCs w:val="24"/>
        </w:rPr>
        <w:t xml:space="preserve">Form 1 includes a section for the "Project Contact’s Name &amp; Title," where a representative </w:t>
      </w:r>
      <w:r w:rsidR="00652D44" w:rsidRPr="00FC1C30">
        <w:rPr>
          <w:sz w:val="24"/>
          <w:szCs w:val="24"/>
        </w:rPr>
        <w:t>can be named</w:t>
      </w:r>
      <w:r w:rsidRPr="00FC1C30">
        <w:rPr>
          <w:sz w:val="24"/>
          <w:szCs w:val="24"/>
        </w:rPr>
        <w:t xml:space="preserve"> as the primary point of contact for </w:t>
      </w:r>
      <w:r w:rsidR="00997A64" w:rsidRPr="00FC1C30">
        <w:rPr>
          <w:sz w:val="24"/>
          <w:szCs w:val="24"/>
        </w:rPr>
        <w:t xml:space="preserve">future </w:t>
      </w:r>
      <w:r w:rsidRPr="00FC1C30">
        <w:rPr>
          <w:sz w:val="24"/>
          <w:szCs w:val="24"/>
        </w:rPr>
        <w:t>project-related communications</w:t>
      </w:r>
      <w:r w:rsidR="00652D44" w:rsidRPr="00FC1C30">
        <w:rPr>
          <w:sz w:val="24"/>
          <w:szCs w:val="24"/>
        </w:rPr>
        <w:t>, if different than the applying individual</w:t>
      </w:r>
      <w:r w:rsidRPr="00FC1C30">
        <w:rPr>
          <w:sz w:val="24"/>
          <w:szCs w:val="24"/>
        </w:rPr>
        <w:t>.</w:t>
      </w:r>
    </w:p>
    <w:bookmarkEnd w:id="3"/>
    <w:p w14:paraId="3DF68465" w14:textId="58A8610D" w:rsidR="003F3203" w:rsidRPr="00FC1C30" w:rsidRDefault="003F3203" w:rsidP="003F3203">
      <w:pPr>
        <w:pStyle w:val="Heading4"/>
        <w:tabs>
          <w:tab w:val="left" w:pos="1260"/>
        </w:tabs>
        <w:ind w:left="1260" w:hanging="1260"/>
        <w:rPr>
          <w:b w:val="0"/>
          <w:bCs w:val="0"/>
        </w:rPr>
      </w:pPr>
      <w:r>
        <w:t xml:space="preserve">Question: </w:t>
      </w:r>
      <w:r>
        <w:tab/>
      </w:r>
      <w:r w:rsidR="00FC1C30">
        <w:rPr>
          <w:b w:val="0"/>
          <w:bCs w:val="0"/>
        </w:rPr>
        <w:t>Does the scope of work include furniture procurement? If so, will furniture be required to be built in or will it be freestanding furniture?</w:t>
      </w:r>
    </w:p>
    <w:p w14:paraId="0B9BC201" w14:textId="7F8B26A6" w:rsidR="003F3203" w:rsidRPr="00BE613C" w:rsidRDefault="003F3203" w:rsidP="00C937CF">
      <w:pPr>
        <w:tabs>
          <w:tab w:val="left" w:pos="1260"/>
        </w:tabs>
        <w:ind w:left="1260" w:hanging="1260"/>
        <w:rPr>
          <w:color w:val="FF0000"/>
        </w:rPr>
      </w:pPr>
      <w:r>
        <w:rPr>
          <w:b/>
          <w:bCs/>
          <w:sz w:val="24"/>
          <w:szCs w:val="24"/>
        </w:rPr>
        <w:t xml:space="preserve">Answer: </w:t>
      </w:r>
      <w:r>
        <w:rPr>
          <w:b/>
          <w:bCs/>
          <w:sz w:val="24"/>
          <w:szCs w:val="24"/>
        </w:rPr>
        <w:tab/>
      </w:r>
      <w:bookmarkStart w:id="4" w:name="_Hlk200119723"/>
      <w:r w:rsidR="00BE613C">
        <w:rPr>
          <w:sz w:val="24"/>
          <w:szCs w:val="24"/>
        </w:rPr>
        <w:t xml:space="preserve">Fixtures, furnishings (built in or freestanding), and equipment are bondable expenses when they </w:t>
      </w:r>
      <w:r w:rsidR="00BE613C">
        <w:rPr>
          <w:b/>
          <w:bCs/>
          <w:sz w:val="24"/>
          <w:szCs w:val="24"/>
        </w:rPr>
        <w:t>are both</w:t>
      </w:r>
      <w:r w:rsidR="00BE613C">
        <w:rPr>
          <w:sz w:val="24"/>
          <w:szCs w:val="24"/>
        </w:rPr>
        <w:t xml:space="preserve">: part of a new construction or major renovation, </w:t>
      </w:r>
      <w:r w:rsidR="00BE613C">
        <w:rPr>
          <w:b/>
          <w:bCs/>
          <w:sz w:val="24"/>
          <w:szCs w:val="24"/>
        </w:rPr>
        <w:t>and</w:t>
      </w:r>
      <w:r w:rsidR="00BE613C">
        <w:rPr>
          <w:sz w:val="24"/>
          <w:szCs w:val="24"/>
        </w:rPr>
        <w:t xml:space="preserve"> a necessary part of the bondable project. </w:t>
      </w:r>
      <w:bookmarkEnd w:id="4"/>
    </w:p>
    <w:sectPr w:rsidR="003F3203" w:rsidRPr="00BE613C" w:rsidSect="001B5073">
      <w:footerReference w:type="default" r:id="rId14"/>
      <w:footerReference w:type="first" r:id="rId15"/>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0C2A" w14:textId="77777777" w:rsidR="003F3203" w:rsidRDefault="003F3203" w:rsidP="003432CA">
      <w:r>
        <w:separator/>
      </w:r>
    </w:p>
    <w:p w14:paraId="5A996273" w14:textId="77777777" w:rsidR="003F3203" w:rsidRDefault="003F3203"/>
  </w:endnote>
  <w:endnote w:type="continuationSeparator" w:id="0">
    <w:p w14:paraId="6CD23138" w14:textId="77777777" w:rsidR="003F3203" w:rsidRDefault="003F3203" w:rsidP="003432CA">
      <w:r>
        <w:continuationSeparator/>
      </w:r>
    </w:p>
    <w:p w14:paraId="56B72628" w14:textId="77777777" w:rsidR="003F3203" w:rsidRDefault="003F3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D049" w14:textId="42B64B8D"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861C"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7068C134"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999C" w14:textId="77777777" w:rsidR="003F3203" w:rsidRDefault="003F3203" w:rsidP="003432CA">
      <w:r>
        <w:separator/>
      </w:r>
    </w:p>
    <w:p w14:paraId="5835B3A3" w14:textId="77777777" w:rsidR="003F3203" w:rsidRDefault="003F3203"/>
  </w:footnote>
  <w:footnote w:type="continuationSeparator" w:id="0">
    <w:p w14:paraId="75B35266" w14:textId="77777777" w:rsidR="003F3203" w:rsidRDefault="003F3203" w:rsidP="003432CA">
      <w:r>
        <w:continuationSeparator/>
      </w:r>
    </w:p>
    <w:p w14:paraId="7B6D15BA" w14:textId="77777777" w:rsidR="003F3203" w:rsidRDefault="003F3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2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602255">
    <w:abstractNumId w:val="3"/>
  </w:num>
  <w:num w:numId="2" w16cid:durableId="737018312">
    <w:abstractNumId w:val="6"/>
  </w:num>
  <w:num w:numId="3" w16cid:durableId="628436610">
    <w:abstractNumId w:val="24"/>
  </w:num>
  <w:num w:numId="4" w16cid:durableId="1131746945">
    <w:abstractNumId w:val="22"/>
  </w:num>
  <w:num w:numId="5" w16cid:durableId="1352023851">
    <w:abstractNumId w:val="17"/>
  </w:num>
  <w:num w:numId="6" w16cid:durableId="1305155651">
    <w:abstractNumId w:val="4"/>
  </w:num>
  <w:num w:numId="7" w16cid:durableId="1646592463">
    <w:abstractNumId w:val="13"/>
  </w:num>
  <w:num w:numId="8" w16cid:durableId="1492677787">
    <w:abstractNumId w:val="7"/>
  </w:num>
  <w:num w:numId="9" w16cid:durableId="1112356828">
    <w:abstractNumId w:val="11"/>
  </w:num>
  <w:num w:numId="10" w16cid:durableId="17896892">
    <w:abstractNumId w:val="2"/>
  </w:num>
  <w:num w:numId="11" w16cid:durableId="2100173792">
    <w:abstractNumId w:val="2"/>
  </w:num>
  <w:num w:numId="12" w16cid:durableId="1502236225">
    <w:abstractNumId w:val="25"/>
  </w:num>
  <w:num w:numId="13" w16cid:durableId="2049521984">
    <w:abstractNumId w:val="26"/>
  </w:num>
  <w:num w:numId="14" w16cid:durableId="56049010">
    <w:abstractNumId w:val="16"/>
  </w:num>
  <w:num w:numId="15" w16cid:durableId="1548951116">
    <w:abstractNumId w:val="2"/>
  </w:num>
  <w:num w:numId="16" w16cid:durableId="1907911586">
    <w:abstractNumId w:val="26"/>
  </w:num>
  <w:num w:numId="17" w16cid:durableId="349457210">
    <w:abstractNumId w:val="16"/>
  </w:num>
  <w:num w:numId="18" w16cid:durableId="1811166338">
    <w:abstractNumId w:val="10"/>
  </w:num>
  <w:num w:numId="19" w16cid:durableId="1929969963">
    <w:abstractNumId w:val="5"/>
  </w:num>
  <w:num w:numId="20" w16cid:durableId="1588996157">
    <w:abstractNumId w:val="1"/>
  </w:num>
  <w:num w:numId="21" w16cid:durableId="1762332004">
    <w:abstractNumId w:val="0"/>
  </w:num>
  <w:num w:numId="22" w16cid:durableId="1854801762">
    <w:abstractNumId w:val="8"/>
  </w:num>
  <w:num w:numId="23" w16cid:durableId="1749887674">
    <w:abstractNumId w:val="21"/>
  </w:num>
  <w:num w:numId="24" w16cid:durableId="800879977">
    <w:abstractNumId w:val="23"/>
  </w:num>
  <w:num w:numId="25" w16cid:durableId="656959925">
    <w:abstractNumId w:val="14"/>
  </w:num>
  <w:num w:numId="26" w16cid:durableId="1605380334">
    <w:abstractNumId w:val="9"/>
  </w:num>
  <w:num w:numId="27" w16cid:durableId="542861610">
    <w:abstractNumId w:val="19"/>
  </w:num>
  <w:num w:numId="28" w16cid:durableId="1261989041">
    <w:abstractNumId w:val="23"/>
  </w:num>
  <w:num w:numId="29" w16cid:durableId="2064867789">
    <w:abstractNumId w:val="23"/>
  </w:num>
  <w:num w:numId="30" w16cid:durableId="1121075540">
    <w:abstractNumId w:val="20"/>
  </w:num>
  <w:num w:numId="31" w16cid:durableId="1447851102">
    <w:abstractNumId w:val="12"/>
  </w:num>
  <w:num w:numId="32" w16cid:durableId="1871188384">
    <w:abstractNumId w:val="15"/>
  </w:num>
  <w:num w:numId="33" w16cid:durableId="104752941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03"/>
    <w:rsid w:val="00002DEC"/>
    <w:rsid w:val="00006359"/>
    <w:rsid w:val="000065AC"/>
    <w:rsid w:val="00006A0A"/>
    <w:rsid w:val="000324DB"/>
    <w:rsid w:val="00037E5C"/>
    <w:rsid w:val="0004311B"/>
    <w:rsid w:val="0005131C"/>
    <w:rsid w:val="000604A4"/>
    <w:rsid w:val="00064B90"/>
    <w:rsid w:val="0007374A"/>
    <w:rsid w:val="00080404"/>
    <w:rsid w:val="00084742"/>
    <w:rsid w:val="00095F66"/>
    <w:rsid w:val="000A437B"/>
    <w:rsid w:val="000A6F5E"/>
    <w:rsid w:val="000B2E68"/>
    <w:rsid w:val="000B35BE"/>
    <w:rsid w:val="000B4CA4"/>
    <w:rsid w:val="000C3708"/>
    <w:rsid w:val="000C3761"/>
    <w:rsid w:val="000C7373"/>
    <w:rsid w:val="000C79A4"/>
    <w:rsid w:val="000D614A"/>
    <w:rsid w:val="000D7102"/>
    <w:rsid w:val="000E313B"/>
    <w:rsid w:val="000E3E9D"/>
    <w:rsid w:val="000E632A"/>
    <w:rsid w:val="000F0A15"/>
    <w:rsid w:val="000F4BB1"/>
    <w:rsid w:val="00127214"/>
    <w:rsid w:val="001339D3"/>
    <w:rsid w:val="00135082"/>
    <w:rsid w:val="00135DC7"/>
    <w:rsid w:val="00147ED1"/>
    <w:rsid w:val="001500D6"/>
    <w:rsid w:val="00157C41"/>
    <w:rsid w:val="00162186"/>
    <w:rsid w:val="001658CF"/>
    <w:rsid w:val="001661D9"/>
    <w:rsid w:val="001708EC"/>
    <w:rsid w:val="00177D7E"/>
    <w:rsid w:val="001819D2"/>
    <w:rsid w:val="001925A8"/>
    <w:rsid w:val="0019673D"/>
    <w:rsid w:val="001A26D9"/>
    <w:rsid w:val="001A46BB"/>
    <w:rsid w:val="001B5073"/>
    <w:rsid w:val="001B5833"/>
    <w:rsid w:val="001C1DC2"/>
    <w:rsid w:val="001C55E0"/>
    <w:rsid w:val="001E09A4"/>
    <w:rsid w:val="001E5ECF"/>
    <w:rsid w:val="001F5F1F"/>
    <w:rsid w:val="002005B8"/>
    <w:rsid w:val="0020575D"/>
    <w:rsid w:val="00210261"/>
    <w:rsid w:val="0021051E"/>
    <w:rsid w:val="00211CA3"/>
    <w:rsid w:val="00212364"/>
    <w:rsid w:val="00220493"/>
    <w:rsid w:val="00222A49"/>
    <w:rsid w:val="0022552E"/>
    <w:rsid w:val="00226BD8"/>
    <w:rsid w:val="00227753"/>
    <w:rsid w:val="00241FE9"/>
    <w:rsid w:val="00243CB2"/>
    <w:rsid w:val="00255404"/>
    <w:rsid w:val="00261247"/>
    <w:rsid w:val="002624DC"/>
    <w:rsid w:val="00264652"/>
    <w:rsid w:val="00272E52"/>
    <w:rsid w:val="0027708D"/>
    <w:rsid w:val="00282084"/>
    <w:rsid w:val="00290483"/>
    <w:rsid w:val="00291052"/>
    <w:rsid w:val="002B42F9"/>
    <w:rsid w:val="002B5E79"/>
    <w:rsid w:val="002B75E0"/>
    <w:rsid w:val="002C0859"/>
    <w:rsid w:val="002D4628"/>
    <w:rsid w:val="002D7CF1"/>
    <w:rsid w:val="002F1947"/>
    <w:rsid w:val="002F39E9"/>
    <w:rsid w:val="00306D94"/>
    <w:rsid w:val="00311D27"/>
    <w:rsid w:val="003125DF"/>
    <w:rsid w:val="00335736"/>
    <w:rsid w:val="003432CA"/>
    <w:rsid w:val="003563D2"/>
    <w:rsid w:val="00376FA5"/>
    <w:rsid w:val="00385911"/>
    <w:rsid w:val="003872A3"/>
    <w:rsid w:val="003963B0"/>
    <w:rsid w:val="003A1479"/>
    <w:rsid w:val="003A1813"/>
    <w:rsid w:val="003A48AE"/>
    <w:rsid w:val="003A563D"/>
    <w:rsid w:val="003B3ADC"/>
    <w:rsid w:val="003B57E7"/>
    <w:rsid w:val="003B7D82"/>
    <w:rsid w:val="003C4644"/>
    <w:rsid w:val="003C5BE3"/>
    <w:rsid w:val="003F3203"/>
    <w:rsid w:val="003F78A4"/>
    <w:rsid w:val="004139DF"/>
    <w:rsid w:val="00413A7C"/>
    <w:rsid w:val="004141DD"/>
    <w:rsid w:val="00416E7C"/>
    <w:rsid w:val="004201D2"/>
    <w:rsid w:val="00434F84"/>
    <w:rsid w:val="004413E2"/>
    <w:rsid w:val="0044472A"/>
    <w:rsid w:val="00461804"/>
    <w:rsid w:val="00466810"/>
    <w:rsid w:val="004816B5"/>
    <w:rsid w:val="00483DD2"/>
    <w:rsid w:val="00494E6F"/>
    <w:rsid w:val="004A1B4D"/>
    <w:rsid w:val="004A34C0"/>
    <w:rsid w:val="004A485C"/>
    <w:rsid w:val="004A58DD"/>
    <w:rsid w:val="004A6119"/>
    <w:rsid w:val="004B0015"/>
    <w:rsid w:val="004B47DC"/>
    <w:rsid w:val="004B6D01"/>
    <w:rsid w:val="004C0413"/>
    <w:rsid w:val="004C3327"/>
    <w:rsid w:val="004C5027"/>
    <w:rsid w:val="004E75B3"/>
    <w:rsid w:val="004F04BA"/>
    <w:rsid w:val="004F0EFF"/>
    <w:rsid w:val="004F6B75"/>
    <w:rsid w:val="00500558"/>
    <w:rsid w:val="0050093F"/>
    <w:rsid w:val="00513049"/>
    <w:rsid w:val="00514788"/>
    <w:rsid w:val="00534A61"/>
    <w:rsid w:val="0054371B"/>
    <w:rsid w:val="00545944"/>
    <w:rsid w:val="0056615E"/>
    <w:rsid w:val="005666F2"/>
    <w:rsid w:val="00572D84"/>
    <w:rsid w:val="005823A9"/>
    <w:rsid w:val="005A1A5D"/>
    <w:rsid w:val="005A2145"/>
    <w:rsid w:val="005B2DDF"/>
    <w:rsid w:val="005B4AE7"/>
    <w:rsid w:val="005B53B0"/>
    <w:rsid w:val="005D21C6"/>
    <w:rsid w:val="005D4207"/>
    <w:rsid w:val="005D454C"/>
    <w:rsid w:val="005D45B3"/>
    <w:rsid w:val="005F6005"/>
    <w:rsid w:val="006064AB"/>
    <w:rsid w:val="00617767"/>
    <w:rsid w:val="00622BB5"/>
    <w:rsid w:val="00623D2D"/>
    <w:rsid w:val="006526E4"/>
    <w:rsid w:val="00652D44"/>
    <w:rsid w:val="00655345"/>
    <w:rsid w:val="00672536"/>
    <w:rsid w:val="00672A42"/>
    <w:rsid w:val="00681EDC"/>
    <w:rsid w:val="0068649F"/>
    <w:rsid w:val="00687189"/>
    <w:rsid w:val="00692649"/>
    <w:rsid w:val="00693A8D"/>
    <w:rsid w:val="006977A9"/>
    <w:rsid w:val="00697CCC"/>
    <w:rsid w:val="006A7942"/>
    <w:rsid w:val="006B13B7"/>
    <w:rsid w:val="006B2942"/>
    <w:rsid w:val="006B3994"/>
    <w:rsid w:val="006B63AB"/>
    <w:rsid w:val="006C0E45"/>
    <w:rsid w:val="006D4829"/>
    <w:rsid w:val="006D7356"/>
    <w:rsid w:val="006E5A51"/>
    <w:rsid w:val="006F3B38"/>
    <w:rsid w:val="0070563C"/>
    <w:rsid w:val="00710B83"/>
    <w:rsid w:val="007137A4"/>
    <w:rsid w:val="0074778B"/>
    <w:rsid w:val="0075023A"/>
    <w:rsid w:val="0076015D"/>
    <w:rsid w:val="0077225E"/>
    <w:rsid w:val="00780E94"/>
    <w:rsid w:val="007923E4"/>
    <w:rsid w:val="00793F48"/>
    <w:rsid w:val="007A1683"/>
    <w:rsid w:val="007A3194"/>
    <w:rsid w:val="007A36BD"/>
    <w:rsid w:val="007A45E4"/>
    <w:rsid w:val="007B2DDB"/>
    <w:rsid w:val="007B35B2"/>
    <w:rsid w:val="007B4354"/>
    <w:rsid w:val="007C1642"/>
    <w:rsid w:val="007D1FFF"/>
    <w:rsid w:val="007D42A0"/>
    <w:rsid w:val="007E685C"/>
    <w:rsid w:val="007F461B"/>
    <w:rsid w:val="007F6108"/>
    <w:rsid w:val="007F6FBA"/>
    <w:rsid w:val="007F7097"/>
    <w:rsid w:val="008067A6"/>
    <w:rsid w:val="00807B1A"/>
    <w:rsid w:val="008251B3"/>
    <w:rsid w:val="00837CDC"/>
    <w:rsid w:val="00844F1D"/>
    <w:rsid w:val="0084749F"/>
    <w:rsid w:val="00864202"/>
    <w:rsid w:val="0086703B"/>
    <w:rsid w:val="00883FB8"/>
    <w:rsid w:val="0089194D"/>
    <w:rsid w:val="008B5443"/>
    <w:rsid w:val="008C7EEB"/>
    <w:rsid w:val="008D0DEF"/>
    <w:rsid w:val="008D2256"/>
    <w:rsid w:val="008D5E3D"/>
    <w:rsid w:val="008D5F9A"/>
    <w:rsid w:val="008F5369"/>
    <w:rsid w:val="0090737A"/>
    <w:rsid w:val="00912F27"/>
    <w:rsid w:val="00914F5A"/>
    <w:rsid w:val="009254B9"/>
    <w:rsid w:val="00927274"/>
    <w:rsid w:val="00927459"/>
    <w:rsid w:val="00960874"/>
    <w:rsid w:val="0096108C"/>
    <w:rsid w:val="00963BA0"/>
    <w:rsid w:val="00967764"/>
    <w:rsid w:val="009810EE"/>
    <w:rsid w:val="00984CC9"/>
    <w:rsid w:val="0099233F"/>
    <w:rsid w:val="0099243A"/>
    <w:rsid w:val="00997A64"/>
    <w:rsid w:val="009A3188"/>
    <w:rsid w:val="009A34B2"/>
    <w:rsid w:val="009A34FD"/>
    <w:rsid w:val="009B3BAB"/>
    <w:rsid w:val="009B54A0"/>
    <w:rsid w:val="009C6405"/>
    <w:rsid w:val="009F478E"/>
    <w:rsid w:val="009F66B6"/>
    <w:rsid w:val="009F6A62"/>
    <w:rsid w:val="00A16AA0"/>
    <w:rsid w:val="00A26148"/>
    <w:rsid w:val="00A266BA"/>
    <w:rsid w:val="00A30799"/>
    <w:rsid w:val="00A452C6"/>
    <w:rsid w:val="00A57FE8"/>
    <w:rsid w:val="00A64ECE"/>
    <w:rsid w:val="00A66185"/>
    <w:rsid w:val="00A66794"/>
    <w:rsid w:val="00A71CAD"/>
    <w:rsid w:val="00A731A2"/>
    <w:rsid w:val="00A827C1"/>
    <w:rsid w:val="00A93F40"/>
    <w:rsid w:val="00A96F93"/>
    <w:rsid w:val="00AB593C"/>
    <w:rsid w:val="00AC2C7C"/>
    <w:rsid w:val="00AD6570"/>
    <w:rsid w:val="00AE5772"/>
    <w:rsid w:val="00AF22AD"/>
    <w:rsid w:val="00AF5107"/>
    <w:rsid w:val="00B06264"/>
    <w:rsid w:val="00B07C8F"/>
    <w:rsid w:val="00B275D4"/>
    <w:rsid w:val="00B33562"/>
    <w:rsid w:val="00B36A3C"/>
    <w:rsid w:val="00B518D2"/>
    <w:rsid w:val="00B5396A"/>
    <w:rsid w:val="00B55C6B"/>
    <w:rsid w:val="00B6082A"/>
    <w:rsid w:val="00B61E1A"/>
    <w:rsid w:val="00B63FD4"/>
    <w:rsid w:val="00B75051"/>
    <w:rsid w:val="00B859DE"/>
    <w:rsid w:val="00BC6453"/>
    <w:rsid w:val="00BD0E59"/>
    <w:rsid w:val="00BD1023"/>
    <w:rsid w:val="00BD1DC1"/>
    <w:rsid w:val="00BE613C"/>
    <w:rsid w:val="00BF794B"/>
    <w:rsid w:val="00C12D2F"/>
    <w:rsid w:val="00C23C46"/>
    <w:rsid w:val="00C24248"/>
    <w:rsid w:val="00C277A8"/>
    <w:rsid w:val="00C309AE"/>
    <w:rsid w:val="00C365CE"/>
    <w:rsid w:val="00C417EB"/>
    <w:rsid w:val="00C528AE"/>
    <w:rsid w:val="00C62C7C"/>
    <w:rsid w:val="00C82AED"/>
    <w:rsid w:val="00C851F4"/>
    <w:rsid w:val="00C87504"/>
    <w:rsid w:val="00C937CF"/>
    <w:rsid w:val="00C9401A"/>
    <w:rsid w:val="00CB0121"/>
    <w:rsid w:val="00CC3925"/>
    <w:rsid w:val="00CC6C53"/>
    <w:rsid w:val="00CE40B4"/>
    <w:rsid w:val="00CE45B0"/>
    <w:rsid w:val="00CF143A"/>
    <w:rsid w:val="00D0014D"/>
    <w:rsid w:val="00D158B0"/>
    <w:rsid w:val="00D22819"/>
    <w:rsid w:val="00D25CBE"/>
    <w:rsid w:val="00D42632"/>
    <w:rsid w:val="00D50D28"/>
    <w:rsid w:val="00D511F0"/>
    <w:rsid w:val="00D54EE5"/>
    <w:rsid w:val="00D63F82"/>
    <w:rsid w:val="00D640FC"/>
    <w:rsid w:val="00D70F7D"/>
    <w:rsid w:val="00D82D67"/>
    <w:rsid w:val="00D91CA0"/>
    <w:rsid w:val="00D92929"/>
    <w:rsid w:val="00D93C2E"/>
    <w:rsid w:val="00D970A5"/>
    <w:rsid w:val="00DA641C"/>
    <w:rsid w:val="00DB4967"/>
    <w:rsid w:val="00DC0695"/>
    <w:rsid w:val="00DD2D53"/>
    <w:rsid w:val="00DE1AAF"/>
    <w:rsid w:val="00DE50CB"/>
    <w:rsid w:val="00E120FB"/>
    <w:rsid w:val="00E13433"/>
    <w:rsid w:val="00E206AE"/>
    <w:rsid w:val="00E23263"/>
    <w:rsid w:val="00E23397"/>
    <w:rsid w:val="00E30A11"/>
    <w:rsid w:val="00E315B7"/>
    <w:rsid w:val="00E32CD7"/>
    <w:rsid w:val="00E44EE1"/>
    <w:rsid w:val="00E5241D"/>
    <w:rsid w:val="00E5680C"/>
    <w:rsid w:val="00E61A16"/>
    <w:rsid w:val="00E64B10"/>
    <w:rsid w:val="00E7537E"/>
    <w:rsid w:val="00E76267"/>
    <w:rsid w:val="00E80064"/>
    <w:rsid w:val="00E8595B"/>
    <w:rsid w:val="00E8798D"/>
    <w:rsid w:val="00E91DCD"/>
    <w:rsid w:val="00EA116D"/>
    <w:rsid w:val="00EA535B"/>
    <w:rsid w:val="00EC56D6"/>
    <w:rsid w:val="00EC579D"/>
    <w:rsid w:val="00ED5BDC"/>
    <w:rsid w:val="00ED6C23"/>
    <w:rsid w:val="00ED7DAC"/>
    <w:rsid w:val="00F067A6"/>
    <w:rsid w:val="00F16ACD"/>
    <w:rsid w:val="00F20B25"/>
    <w:rsid w:val="00F3128A"/>
    <w:rsid w:val="00F334CD"/>
    <w:rsid w:val="00F57BBE"/>
    <w:rsid w:val="00F62A7E"/>
    <w:rsid w:val="00F70C03"/>
    <w:rsid w:val="00F9084A"/>
    <w:rsid w:val="00F97573"/>
    <w:rsid w:val="00F97F8B"/>
    <w:rsid w:val="00FB427D"/>
    <w:rsid w:val="00FB6E40"/>
    <w:rsid w:val="00FC1C30"/>
    <w:rsid w:val="00FD1CCB"/>
    <w:rsid w:val="00F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2"/>
    </o:shapelayout>
  </w:shapeDefaults>
  <w:decimalSymbol w:val="."/>
  <w:listSeparator w:val=","/>
  <w14:docId w14:val="232C7F19"/>
  <w15:docId w15:val="{98526EED-B4C3-4132-AFE2-C19815F0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F66"/>
    <w:pPr>
      <w:spacing w:before="200" w:after="200"/>
    </w:pPr>
  </w:style>
  <w:style w:type="paragraph" w:styleId="Heading1">
    <w:name w:val="heading 1"/>
    <w:next w:val="Normal"/>
    <w:link w:val="Heading1Char"/>
    <w:uiPriority w:val="1"/>
    <w:qFormat/>
    <w:rsid w:val="001B507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1B507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513049"/>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4F6B75"/>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0D7102"/>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0D7102"/>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5073"/>
    <w:rPr>
      <w:b/>
      <w:color w:val="003865"/>
      <w:sz w:val="40"/>
      <w:szCs w:val="40"/>
    </w:rPr>
  </w:style>
  <w:style w:type="character" w:customStyle="1" w:styleId="Heading2Char">
    <w:name w:val="Heading 2 Char"/>
    <w:basedOn w:val="DefaultParagraphFont"/>
    <w:link w:val="Heading2"/>
    <w:uiPriority w:val="1"/>
    <w:rsid w:val="001B507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513049"/>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4F6B75"/>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0D7102"/>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0D7102"/>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324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A16AA0"/>
    <w:pPr>
      <w:spacing w:line="240" w:lineRule="auto"/>
    </w:pPr>
    <w:rPr>
      <w:b/>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character" w:styleId="CommentReference">
    <w:name w:val="annotation reference"/>
    <w:basedOn w:val="DefaultParagraphFont"/>
    <w:semiHidden/>
    <w:unhideWhenUsed/>
    <w:rsid w:val="00C937CF"/>
    <w:rPr>
      <w:sz w:val="16"/>
      <w:szCs w:val="16"/>
    </w:rPr>
  </w:style>
  <w:style w:type="paragraph" w:styleId="CommentText">
    <w:name w:val="annotation text"/>
    <w:basedOn w:val="Normal"/>
    <w:link w:val="CommentTextChar"/>
    <w:unhideWhenUsed/>
    <w:rsid w:val="00C937CF"/>
    <w:pPr>
      <w:spacing w:line="240" w:lineRule="auto"/>
    </w:pPr>
    <w:rPr>
      <w:sz w:val="20"/>
      <w:szCs w:val="20"/>
    </w:rPr>
  </w:style>
  <w:style w:type="character" w:customStyle="1" w:styleId="CommentTextChar">
    <w:name w:val="Comment Text Char"/>
    <w:basedOn w:val="DefaultParagraphFont"/>
    <w:link w:val="CommentText"/>
    <w:rsid w:val="00C937CF"/>
    <w:rPr>
      <w:sz w:val="20"/>
      <w:szCs w:val="20"/>
    </w:rPr>
  </w:style>
  <w:style w:type="paragraph" w:styleId="CommentSubject">
    <w:name w:val="annotation subject"/>
    <w:basedOn w:val="CommentText"/>
    <w:next w:val="CommentText"/>
    <w:link w:val="CommentSubjectChar"/>
    <w:semiHidden/>
    <w:unhideWhenUsed/>
    <w:rsid w:val="00C937CF"/>
    <w:rPr>
      <w:b/>
      <w:bCs/>
    </w:rPr>
  </w:style>
  <w:style w:type="character" w:customStyle="1" w:styleId="CommentSubjectChar">
    <w:name w:val="Comment Subject Char"/>
    <w:basedOn w:val="CommentTextChar"/>
    <w:link w:val="CommentSubject"/>
    <w:semiHidden/>
    <w:rsid w:val="00C937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321004921">
      <w:bodyDiv w:val="1"/>
      <w:marLeft w:val="0"/>
      <w:marRight w:val="0"/>
      <w:marTop w:val="0"/>
      <w:marBottom w:val="0"/>
      <w:divBdr>
        <w:top w:val="none" w:sz="0" w:space="0" w:color="auto"/>
        <w:left w:val="none" w:sz="0" w:space="0" w:color="auto"/>
        <w:bottom w:val="none" w:sz="0" w:space="0" w:color="auto"/>
        <w:right w:val="none" w:sz="0" w:space="0" w:color="auto"/>
      </w:divBdr>
    </w:div>
    <w:div w:id="613750034">
      <w:bodyDiv w:val="1"/>
      <w:marLeft w:val="0"/>
      <w:marRight w:val="0"/>
      <w:marTop w:val="0"/>
      <w:marBottom w:val="0"/>
      <w:divBdr>
        <w:top w:val="none" w:sz="0" w:space="0" w:color="auto"/>
        <w:left w:val="none" w:sz="0" w:space="0" w:color="auto"/>
        <w:bottom w:val="none" w:sz="0" w:space="0" w:color="auto"/>
        <w:right w:val="none" w:sz="0" w:space="0" w:color="auto"/>
      </w:divBdr>
    </w:div>
    <w:div w:id="671182538">
      <w:bodyDiv w:val="1"/>
      <w:marLeft w:val="0"/>
      <w:marRight w:val="0"/>
      <w:marTop w:val="0"/>
      <w:marBottom w:val="0"/>
      <w:divBdr>
        <w:top w:val="none" w:sz="0" w:space="0" w:color="auto"/>
        <w:left w:val="none" w:sz="0" w:space="0" w:color="auto"/>
        <w:bottom w:val="none" w:sz="0" w:space="0" w:color="auto"/>
        <w:right w:val="none" w:sz="0" w:space="0" w:color="auto"/>
      </w:divBdr>
    </w:div>
    <w:div w:id="826437981">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411271213">
      <w:bodyDiv w:val="1"/>
      <w:marLeft w:val="0"/>
      <w:marRight w:val="0"/>
      <w:marTop w:val="0"/>
      <w:marBottom w:val="0"/>
      <w:divBdr>
        <w:top w:val="none" w:sz="0" w:space="0" w:color="auto"/>
        <w:left w:val="none" w:sz="0" w:space="0" w:color="auto"/>
        <w:bottom w:val="none" w:sz="0" w:space="0" w:color="auto"/>
        <w:right w:val="none" w:sz="0" w:space="0" w:color="auto"/>
      </w:divBdr>
    </w:div>
    <w:div w:id="14289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mb-stat/debt-management/Capital%20Projects/Grant-Agreements/General%20Obligation/ProgramGeneralObligationBondsProgramGrantAgreemenConstructionGrant%2020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LV001\AppData\Local\Microsoft\Office\Templates\DCYF\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16" ma:contentTypeDescription="Create a new document." ma:contentTypeScope="" ma:versionID="d3c4c7e66d0766770664248d3e516223">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094f781d6bd55c58c098fde308d3ca98"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7a8c98-de7e-4260-8869-26864000acbb}" ma:internalName="TaxCatchAll" ma:showField="CatchAllData" ma:web="df7176e6-ff46-46f8-8b8f-d830a43c7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f7176e6-ff46-46f8-8b8f-d830a43c7201" xsi:nil="true"/>
    <lcf76f155ced4ddcb4097134ff3c332f xmlns="df1db236-f4ed-46d7-a734-34aadf2136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D9015-CF92-4B47-9D2F-5FE26761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D5173-B160-45F8-B7C5-9F59F16F5763}">
  <ds:schemaRefs>
    <ds:schemaRef ds:uri="http://schemas.microsoft.com/sharepoint/v3/contenttype/forms"/>
  </ds:schemaRefs>
</ds:datastoreItem>
</file>

<file path=customXml/itemProps3.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4.xml><?xml version="1.0" encoding="utf-8"?>
<ds:datastoreItem xmlns:ds="http://schemas.openxmlformats.org/officeDocument/2006/customXml" ds:itemID="{1230352F-227D-4AF6-BCC4-2568733E245B}">
  <ds:schemaRefs>
    <ds:schemaRef ds:uri="http://schemas.microsoft.com/office/2006/metadata/properties"/>
    <ds:schemaRef ds:uri="http://schemas.microsoft.com/office/infopath/2007/PartnerControls"/>
    <ds:schemaRef ds:uri="df7176e6-ff46-46f8-8b8f-d830a43c7201"/>
    <ds:schemaRef ds:uri="df1db236-f4ed-46d7-a734-34aadf213676"/>
  </ds:schemaRefs>
</ds:datastoreItem>
</file>

<file path=docProps/app.xml><?xml version="1.0" encoding="utf-8"?>
<Properties xmlns="http://schemas.openxmlformats.org/officeDocument/2006/extended-properties" xmlns:vt="http://schemas.openxmlformats.org/officeDocument/2006/docPropsVTypes">
  <Template>Blank with Logo</Template>
  <TotalTime>2</TotalTime>
  <Pages>3</Pages>
  <Words>1037</Words>
  <Characters>5680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Linda</dc:creator>
  <cp:keywords/>
  <dc:description/>
  <cp:lastModifiedBy>Siess, Jon M (DCYF)</cp:lastModifiedBy>
  <cp:revision>2</cp:revision>
  <dcterms:created xsi:type="dcterms:W3CDTF">2025-06-11T15:35:00Z</dcterms:created>
  <dcterms:modified xsi:type="dcterms:W3CDTF">2025-06-11T15:35:00Z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0x010100832966C2BD65E54BBBE133EDCB429956</vt:lpwstr>
  </property>
</Properties>
</file>