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836E3" w14:textId="77777777" w:rsidR="00B921B3" w:rsidRDefault="00B921B3" w:rsidP="00B921B3">
      <w:pPr>
        <w:pStyle w:val="Heading2"/>
        <w:spacing w:before="0" w:after="0"/>
        <w:jc w:val="center"/>
      </w:pPr>
      <w:bookmarkStart w:id="0" w:name="_Hlk221104274"/>
      <w:r>
        <w:t>Adoption, Concurrent, and Permanency Planning</w:t>
      </w:r>
      <w:r w:rsidR="00162CC7">
        <w:t xml:space="preserve"> Services RFP</w:t>
      </w:r>
      <w:r w:rsidR="00F01E24">
        <w:t xml:space="preserve"> </w:t>
      </w:r>
    </w:p>
    <w:p w14:paraId="244D7ECE" w14:textId="3D26D578" w:rsidR="00F01E24" w:rsidRPr="00F01E24" w:rsidRDefault="00F01E24" w:rsidP="00B921B3">
      <w:pPr>
        <w:pStyle w:val="Heading2"/>
        <w:spacing w:before="0" w:after="0"/>
        <w:jc w:val="center"/>
      </w:pPr>
      <w:r>
        <w:t>Questions and Answers</w:t>
      </w:r>
    </w:p>
    <w:bookmarkEnd w:id="0"/>
    <w:p w14:paraId="5F596B45" w14:textId="5EEA4EF0" w:rsidR="00162CC7" w:rsidRPr="00162CC7" w:rsidRDefault="00162CC7" w:rsidP="00162CC7">
      <w:pPr>
        <w:rPr>
          <w:rFonts w:asciiTheme="minorHAnsi" w:eastAsiaTheme="majorEastAsia" w:hAnsiTheme="minorHAnsi" w:cs="Arial"/>
          <w:b/>
          <w:color w:val="003865" w:themeColor="accent1"/>
          <w:sz w:val="26"/>
          <w:szCs w:val="24"/>
        </w:rPr>
      </w:pPr>
      <w:r w:rsidRPr="00162CC7">
        <w:rPr>
          <w:rFonts w:asciiTheme="minorHAnsi" w:eastAsiaTheme="majorEastAsia" w:hAnsiTheme="minorHAnsi" w:cs="Arial"/>
          <w:b/>
          <w:color w:val="003865" w:themeColor="accent1"/>
          <w:sz w:val="26"/>
          <w:szCs w:val="24"/>
        </w:rPr>
        <w:t>In the Request for Proposals for a Grantee to provide adoption, concurrent and permanency planning services</w:t>
      </w:r>
      <w:r w:rsidR="00BA45E2">
        <w:rPr>
          <w:rFonts w:asciiTheme="minorHAnsi" w:eastAsiaTheme="majorEastAsia" w:hAnsiTheme="minorHAnsi" w:cs="Arial"/>
          <w:b/>
          <w:color w:val="003865" w:themeColor="accent1"/>
          <w:sz w:val="26"/>
          <w:szCs w:val="24"/>
        </w:rPr>
        <w:t>,</w:t>
      </w:r>
      <w:r w:rsidRPr="00162CC7">
        <w:rPr>
          <w:rFonts w:asciiTheme="minorHAnsi" w:eastAsiaTheme="majorEastAsia" w:hAnsiTheme="minorHAnsi" w:cs="Arial"/>
          <w:b/>
          <w:color w:val="003865" w:themeColor="accent1"/>
          <w:sz w:val="26"/>
          <w:szCs w:val="24"/>
        </w:rPr>
        <w:t xml:space="preserve"> are counties eligible to apply? It looks like the RFP is looking for agencies to work in collaboration with </w:t>
      </w:r>
      <w:r w:rsidR="00855561" w:rsidRPr="00162CC7">
        <w:rPr>
          <w:rFonts w:asciiTheme="minorHAnsi" w:eastAsiaTheme="majorEastAsia" w:hAnsiTheme="minorHAnsi" w:cs="Arial"/>
          <w:b/>
          <w:color w:val="003865" w:themeColor="accent1"/>
          <w:sz w:val="26"/>
          <w:szCs w:val="24"/>
        </w:rPr>
        <w:t>counties</w:t>
      </w:r>
      <w:r w:rsidR="00855561">
        <w:rPr>
          <w:rFonts w:asciiTheme="minorHAnsi" w:eastAsiaTheme="majorEastAsia" w:hAnsiTheme="minorHAnsi" w:cs="Arial"/>
          <w:b/>
          <w:color w:val="003865" w:themeColor="accent1"/>
          <w:sz w:val="26"/>
          <w:szCs w:val="24"/>
        </w:rPr>
        <w:t xml:space="preserve"> but</w:t>
      </w:r>
      <w:r w:rsidRPr="00162CC7">
        <w:rPr>
          <w:rFonts w:asciiTheme="minorHAnsi" w:eastAsiaTheme="majorEastAsia" w:hAnsiTheme="minorHAnsi" w:cs="Arial"/>
          <w:b/>
          <w:color w:val="003865" w:themeColor="accent1"/>
          <w:sz w:val="26"/>
          <w:szCs w:val="24"/>
        </w:rPr>
        <w:t xml:space="preserve"> just seeking clarification.</w:t>
      </w:r>
    </w:p>
    <w:p w14:paraId="36EB998F" w14:textId="32F2F322" w:rsidR="00162CC7" w:rsidRPr="00162CC7" w:rsidRDefault="00BA45E2" w:rsidP="00162CC7">
      <w:r>
        <w:t>Page 2 of t</w:t>
      </w:r>
      <w:r w:rsidR="00162CC7" w:rsidRPr="00162CC7">
        <w:t xml:space="preserve">he RFP states that </w:t>
      </w:r>
      <w:hyperlink r:id="rId11" w:history="1">
        <w:r>
          <w:rPr>
            <w:rStyle w:val="Hyperlink"/>
          </w:rPr>
          <w:t>Minnesota Statutes</w:t>
        </w:r>
        <w:r w:rsidR="00855561">
          <w:rPr>
            <w:rStyle w:val="Hyperlink"/>
          </w:rPr>
          <w:t>, section</w:t>
        </w:r>
        <w:r>
          <w:rPr>
            <w:rStyle w:val="Hyperlink"/>
          </w:rPr>
          <w:t xml:space="preserve"> 142A.03, subd</w:t>
        </w:r>
        <w:r w:rsidR="00855561">
          <w:rPr>
            <w:rStyle w:val="Hyperlink"/>
          </w:rPr>
          <w:t>ivision</w:t>
        </w:r>
        <w:r>
          <w:rPr>
            <w:rStyle w:val="Hyperlink"/>
          </w:rPr>
          <w:t xml:space="preserve"> 2(j)</w:t>
        </w:r>
      </w:hyperlink>
      <w:r w:rsidR="00162CC7" w:rsidRPr="00162CC7">
        <w:t xml:space="preserve"> authorizes</w:t>
      </w:r>
      <w:r>
        <w:t xml:space="preserve"> the</w:t>
      </w:r>
      <w:r w:rsidR="00162CC7" w:rsidRPr="00162CC7">
        <w:t xml:space="preserve"> STATE to contract with Minnesota</w:t>
      </w:r>
      <w:r w:rsidR="00F319CE">
        <w:t>-</w:t>
      </w:r>
      <w:r w:rsidR="00162CC7" w:rsidRPr="00162CC7">
        <w:t xml:space="preserve">licensed adoption agencies or Tribal social service agencies </w:t>
      </w:r>
      <w:r w:rsidR="00F319CE">
        <w:t>that are</w:t>
      </w:r>
      <w:r w:rsidR="00162CC7" w:rsidRPr="00162CC7">
        <w:t xml:space="preserve"> in good standing to provide adoption services for children under guardianship of the commissioner. For children in out-of-home care whose interests would be best served by a T</w:t>
      </w:r>
      <w:r w:rsidR="00CC01EB">
        <w:t xml:space="preserve">ransfer of </w:t>
      </w:r>
      <w:r w:rsidR="00162CC7" w:rsidRPr="00162CC7">
        <w:t>P</w:t>
      </w:r>
      <w:r w:rsidR="00CC01EB">
        <w:t xml:space="preserve">ermanent </w:t>
      </w:r>
      <w:r w:rsidR="00162CC7" w:rsidRPr="00162CC7">
        <w:t>L</w:t>
      </w:r>
      <w:r w:rsidR="00CC01EB">
        <w:t xml:space="preserve">egal and </w:t>
      </w:r>
      <w:r w:rsidR="00162CC7" w:rsidRPr="00162CC7">
        <w:t>P</w:t>
      </w:r>
      <w:r w:rsidR="00CC01EB">
        <w:t xml:space="preserve">hysical </w:t>
      </w:r>
      <w:r w:rsidR="00162CC7" w:rsidRPr="00162CC7">
        <w:t>C</w:t>
      </w:r>
      <w:r w:rsidR="00CC01EB">
        <w:t>ustody (TPLPC)</w:t>
      </w:r>
      <w:r w:rsidR="00162CC7" w:rsidRPr="00162CC7">
        <w:t xml:space="preserve"> to a relative under </w:t>
      </w:r>
      <w:hyperlink r:id="rId12" w:history="1">
        <w:r w:rsidR="00CC01EB">
          <w:rPr>
            <w:rStyle w:val="Hyperlink"/>
          </w:rPr>
          <w:t>Minnesota Statutes</w:t>
        </w:r>
        <w:r w:rsidR="00855561">
          <w:rPr>
            <w:rStyle w:val="Hyperlink"/>
          </w:rPr>
          <w:t>, section</w:t>
        </w:r>
        <w:r w:rsidR="00CC01EB">
          <w:rPr>
            <w:rStyle w:val="Hyperlink"/>
          </w:rPr>
          <w:t xml:space="preserve"> 260C.515, subd</w:t>
        </w:r>
        <w:r w:rsidR="00855561">
          <w:rPr>
            <w:rStyle w:val="Hyperlink"/>
          </w:rPr>
          <w:t>ivision</w:t>
        </w:r>
        <w:r w:rsidR="00CC01EB">
          <w:rPr>
            <w:rStyle w:val="Hyperlink"/>
          </w:rPr>
          <w:t xml:space="preserve"> 4</w:t>
        </w:r>
      </w:hyperlink>
      <w:r w:rsidR="00162CC7" w:rsidRPr="00162CC7">
        <w:t>, or equivalent in Tribal code, the commissioner may contract with a licensed child-placing agency or a Minnesota Tribal social services agency to provide permanency services.</w:t>
      </w:r>
      <w:r w:rsidR="00162CC7">
        <w:t xml:space="preserve"> Therefore, </w:t>
      </w:r>
      <w:r w:rsidR="00162CC7" w:rsidRPr="00162CC7">
        <w:t xml:space="preserve">licensed child-placing agencies or Minnesota Tribal social service agencies would be eligible to submit a proposal in response to this RFP to provide permanency services in collaboration with county social service agencies. </w:t>
      </w:r>
    </w:p>
    <w:p w14:paraId="030EEBCA" w14:textId="77777777" w:rsidR="000953C6" w:rsidRDefault="000953C6" w:rsidP="000953C6">
      <w:pPr>
        <w:pStyle w:val="Heading3"/>
      </w:pPr>
      <w:r>
        <w:t>Are evaluation services required?</w:t>
      </w:r>
    </w:p>
    <w:p w14:paraId="6E786139" w14:textId="7CFC42A9" w:rsidR="000953C6" w:rsidRDefault="000953C6" w:rsidP="000953C6">
      <w:r w:rsidRPr="00923854">
        <w:t xml:space="preserve">This is a requirement of the RFP if the responder is addressing the services identified in Section 2.1(a), which specifies the minimum services proposals must include. Any proposal that does not include the required elements will be scored accordingly. As a result, if the final score is deemed insufficient, the contract may not be awarded. </w:t>
      </w:r>
    </w:p>
    <w:p w14:paraId="6545B53B" w14:textId="77777777" w:rsidR="000953C6" w:rsidRPr="00923854" w:rsidRDefault="000953C6" w:rsidP="000953C6">
      <w:pPr>
        <w:pStyle w:val="Heading3"/>
      </w:pPr>
      <w:r w:rsidRPr="00923854">
        <w:t>Can you please confirm that a proposal to evaluate only the specific PPPC services provided by our own agency (e.g., evaluating our own Child Specific Recruitment closure rates and placement stability) fully satisfies the requirements for this service line? We want to ensure there is no expectation for a Responder to evaluate the broader statewide PPPC network or activities performed by other contracted agencies.</w:t>
      </w:r>
    </w:p>
    <w:p w14:paraId="3E467652" w14:textId="0F628EB2" w:rsidR="000953C6" w:rsidRPr="00923854" w:rsidRDefault="000953C6" w:rsidP="000953C6">
      <w:pPr>
        <w:rPr>
          <w:rFonts w:eastAsiaTheme="majorEastAsia"/>
        </w:rPr>
      </w:pPr>
      <w:r w:rsidRPr="00923854">
        <w:rPr>
          <w:rFonts w:eastAsiaTheme="majorEastAsia"/>
        </w:rPr>
        <w:t>Regarding the RFP</w:t>
      </w:r>
      <w:r w:rsidR="0057090D">
        <w:rPr>
          <w:rFonts w:eastAsiaTheme="majorEastAsia"/>
        </w:rPr>
        <w:t>,</w:t>
      </w:r>
      <w:r w:rsidRPr="00923854">
        <w:rPr>
          <w:rFonts w:eastAsiaTheme="majorEastAsia"/>
        </w:rPr>
        <w:t xml:space="preserve"> Section 2.2, Task 17 Evaluation Services, it is appropriate and sufficient for a responder to propose evaluation services only for the services their own organization provides. </w:t>
      </w:r>
    </w:p>
    <w:p w14:paraId="20BC8309" w14:textId="77777777" w:rsidR="000953C6" w:rsidRPr="006B48BB" w:rsidRDefault="000953C6" w:rsidP="000953C6">
      <w:pPr>
        <w:pStyle w:val="Heading3"/>
      </w:pPr>
      <w:r w:rsidRPr="006B48BB">
        <w:lastRenderedPageBreak/>
        <w:t>Section</w:t>
      </w:r>
      <w:r w:rsidRPr="006B48BB">
        <w:rPr>
          <w:spacing w:val="-5"/>
        </w:rPr>
        <w:t xml:space="preserve"> </w:t>
      </w:r>
      <w:r w:rsidRPr="006B48BB">
        <w:t>2.2,</w:t>
      </w:r>
      <w:r w:rsidRPr="006B48BB">
        <w:rPr>
          <w:spacing w:val="-4"/>
        </w:rPr>
        <w:t xml:space="preserve"> </w:t>
      </w:r>
      <w:r w:rsidRPr="006B48BB">
        <w:t>Item</w:t>
      </w:r>
      <w:r w:rsidRPr="006B48BB">
        <w:rPr>
          <w:spacing w:val="-6"/>
        </w:rPr>
        <w:t xml:space="preserve"> </w:t>
      </w:r>
      <w:r w:rsidRPr="006B48BB">
        <w:t>8:</w:t>
      </w:r>
      <w:r w:rsidRPr="006B48BB">
        <w:rPr>
          <w:spacing w:val="-5"/>
        </w:rPr>
        <w:t xml:space="preserve"> </w:t>
      </w:r>
      <w:r w:rsidRPr="006B48BB">
        <w:t>Relative</w:t>
      </w:r>
      <w:r w:rsidRPr="006B48BB">
        <w:rPr>
          <w:spacing w:val="-3"/>
        </w:rPr>
        <w:t xml:space="preserve"> </w:t>
      </w:r>
      <w:r w:rsidRPr="006B48BB">
        <w:t>Service</w:t>
      </w:r>
      <w:r w:rsidRPr="006B48BB">
        <w:rPr>
          <w:spacing w:val="-3"/>
        </w:rPr>
        <w:t xml:space="preserve"> </w:t>
      </w:r>
      <w:r w:rsidRPr="006B48BB">
        <w:rPr>
          <w:spacing w:val="-5"/>
        </w:rPr>
        <w:t>Fee</w:t>
      </w:r>
    </w:p>
    <w:p w14:paraId="7AFBB7E6" w14:textId="343BE0B6" w:rsidR="000953C6" w:rsidRDefault="000953C6" w:rsidP="000953C6">
      <w:pPr>
        <w:pStyle w:val="Heading3"/>
      </w:pPr>
      <w:r>
        <w:t>Can</w:t>
      </w:r>
      <w:r>
        <w:rPr>
          <w:spacing w:val="-3"/>
        </w:rPr>
        <w:t xml:space="preserve"> </w:t>
      </w:r>
      <w:r>
        <w:t>you</w:t>
      </w:r>
      <w:r>
        <w:rPr>
          <w:spacing w:val="-5"/>
        </w:rPr>
        <w:t xml:space="preserve"> </w:t>
      </w:r>
      <w:r>
        <w:t>tell</w:t>
      </w:r>
      <w:r>
        <w:rPr>
          <w:spacing w:val="-4"/>
        </w:rPr>
        <w:t xml:space="preserve"> </w:t>
      </w:r>
      <w:r>
        <w:t>me</w:t>
      </w:r>
      <w:r>
        <w:rPr>
          <w:spacing w:val="-5"/>
        </w:rPr>
        <w:t xml:space="preserve"> </w:t>
      </w:r>
      <w:r>
        <w:t>more</w:t>
      </w:r>
      <w:r>
        <w:rPr>
          <w:spacing w:val="-4"/>
        </w:rPr>
        <w:t xml:space="preserve"> </w:t>
      </w:r>
      <w:r>
        <w:t>about</w:t>
      </w:r>
      <w:r>
        <w:rPr>
          <w:spacing w:val="-5"/>
        </w:rPr>
        <w:t xml:space="preserve"> </w:t>
      </w:r>
      <w:r>
        <w:t>billing</w:t>
      </w:r>
      <w:r>
        <w:rPr>
          <w:spacing w:val="-6"/>
        </w:rPr>
        <w:t xml:space="preserve"> </w:t>
      </w:r>
      <w:r>
        <w:t>frequency</w:t>
      </w:r>
      <w:r>
        <w:rPr>
          <w:spacing w:val="-5"/>
        </w:rPr>
        <w:t xml:space="preserve"> </w:t>
      </w:r>
      <w:r>
        <w:t>for</w:t>
      </w:r>
      <w:r>
        <w:rPr>
          <w:spacing w:val="-6"/>
        </w:rPr>
        <w:t xml:space="preserve"> </w:t>
      </w:r>
      <w:r>
        <w:t>this</w:t>
      </w:r>
      <w:r>
        <w:rPr>
          <w:spacing w:val="-5"/>
        </w:rPr>
        <w:t xml:space="preserve"> </w:t>
      </w:r>
      <w:r>
        <w:t>new</w:t>
      </w:r>
      <w:r>
        <w:rPr>
          <w:spacing w:val="-5"/>
        </w:rPr>
        <w:t xml:space="preserve"> </w:t>
      </w:r>
      <w:r>
        <w:t>service?</w:t>
      </w:r>
      <w:r>
        <w:rPr>
          <w:spacing w:val="-5"/>
        </w:rPr>
        <w:t xml:space="preserve"> </w:t>
      </w:r>
      <w:r>
        <w:t>Speciﬁcally,</w:t>
      </w:r>
      <w:r>
        <w:rPr>
          <w:spacing w:val="-4"/>
        </w:rPr>
        <w:t xml:space="preserve"> </w:t>
      </w:r>
      <w:r>
        <w:t>can</w:t>
      </w:r>
      <w:r>
        <w:rPr>
          <w:spacing w:val="-3"/>
        </w:rPr>
        <w:t xml:space="preserve"> </w:t>
      </w:r>
      <w:r>
        <w:t>this</w:t>
      </w:r>
      <w:r>
        <w:rPr>
          <w:spacing w:val="-5"/>
        </w:rPr>
        <w:t xml:space="preserve"> </w:t>
      </w:r>
      <w:r>
        <w:t>be</w:t>
      </w:r>
      <w:r>
        <w:rPr>
          <w:spacing w:val="-4"/>
        </w:rPr>
        <w:t xml:space="preserve"> </w:t>
      </w:r>
      <w:r>
        <w:t>billed</w:t>
      </w:r>
      <w:r>
        <w:rPr>
          <w:spacing w:val="-5"/>
        </w:rPr>
        <w:t xml:space="preserve"> </w:t>
      </w:r>
      <w:r>
        <w:t>two</w:t>
      </w:r>
      <w:r>
        <w:rPr>
          <w:spacing w:val="-4"/>
        </w:rPr>
        <w:t xml:space="preserve"> </w:t>
      </w:r>
      <w:r>
        <w:t>or more times</w:t>
      </w:r>
      <w:r w:rsidR="00221EFE">
        <w:t>,</w:t>
      </w:r>
      <w:r>
        <w:t xml:space="preserve"> or is it the expectation that this would only be billed once?</w:t>
      </w:r>
    </w:p>
    <w:p w14:paraId="25CAE546" w14:textId="7E8BF023" w:rsidR="000953C6" w:rsidRDefault="000953C6" w:rsidP="000953C6">
      <w:pPr>
        <w:pStyle w:val="Heading3"/>
      </w:pPr>
      <w:r>
        <w:t>Example:</w:t>
      </w:r>
      <w:r>
        <w:rPr>
          <w:spacing w:val="-5"/>
        </w:rPr>
        <w:t xml:space="preserve"> </w:t>
      </w:r>
      <w:r>
        <w:t>We</w:t>
      </w:r>
      <w:r>
        <w:rPr>
          <w:spacing w:val="-7"/>
        </w:rPr>
        <w:t xml:space="preserve"> </w:t>
      </w:r>
      <w:r>
        <w:t>complete</w:t>
      </w:r>
      <w:r>
        <w:rPr>
          <w:spacing w:val="-5"/>
        </w:rPr>
        <w:t xml:space="preserve"> </w:t>
      </w:r>
      <w:r>
        <w:t>an</w:t>
      </w:r>
      <w:r>
        <w:rPr>
          <w:spacing w:val="-4"/>
        </w:rPr>
        <w:t xml:space="preserve"> </w:t>
      </w:r>
      <w:r>
        <w:t>original</w:t>
      </w:r>
      <w:r>
        <w:rPr>
          <w:spacing w:val="-8"/>
        </w:rPr>
        <w:t xml:space="preserve"> </w:t>
      </w:r>
      <w:r>
        <w:t>relative/kinship</w:t>
      </w:r>
      <w:r>
        <w:rPr>
          <w:spacing w:val="-4"/>
        </w:rPr>
        <w:t xml:space="preserve"> </w:t>
      </w:r>
      <w:r>
        <w:t>home</w:t>
      </w:r>
      <w:r>
        <w:rPr>
          <w:spacing w:val="-5"/>
        </w:rPr>
        <w:t xml:space="preserve"> </w:t>
      </w:r>
      <w:r>
        <w:t>study</w:t>
      </w:r>
      <w:r>
        <w:rPr>
          <w:spacing w:val="-6"/>
        </w:rPr>
        <w:t xml:space="preserve"> </w:t>
      </w:r>
      <w:r>
        <w:t>in</w:t>
      </w:r>
      <w:r>
        <w:rPr>
          <w:spacing w:val="-7"/>
        </w:rPr>
        <w:t xml:space="preserve"> </w:t>
      </w:r>
      <w:r>
        <w:t>2027</w:t>
      </w:r>
      <w:r w:rsidR="00221EFE">
        <w:t>,</w:t>
      </w:r>
      <w:r>
        <w:rPr>
          <w:spacing w:val="-5"/>
        </w:rPr>
        <w:t xml:space="preserve"> </w:t>
      </w:r>
      <w:r>
        <w:t>and</w:t>
      </w:r>
      <w:r>
        <w:rPr>
          <w:spacing w:val="-4"/>
        </w:rPr>
        <w:t xml:space="preserve"> </w:t>
      </w:r>
      <w:r>
        <w:t>they</w:t>
      </w:r>
      <w:r>
        <w:rPr>
          <w:spacing w:val="-6"/>
        </w:rPr>
        <w:t xml:space="preserve"> </w:t>
      </w:r>
      <w:r>
        <w:t>are</w:t>
      </w:r>
      <w:r>
        <w:rPr>
          <w:spacing w:val="-5"/>
        </w:rPr>
        <w:t xml:space="preserve"> </w:t>
      </w:r>
      <w:r>
        <w:t>up</w:t>
      </w:r>
      <w:r>
        <w:rPr>
          <w:spacing w:val="-4"/>
        </w:rPr>
        <w:t xml:space="preserve"> </w:t>
      </w:r>
      <w:r>
        <w:t>for</w:t>
      </w:r>
      <w:r>
        <w:rPr>
          <w:spacing w:val="-8"/>
        </w:rPr>
        <w:t xml:space="preserve"> </w:t>
      </w:r>
      <w:r w:rsidR="00221EFE">
        <w:rPr>
          <w:spacing w:val="-8"/>
        </w:rPr>
        <w:t xml:space="preserve">a </w:t>
      </w:r>
      <w:r>
        <w:t>home</w:t>
      </w:r>
      <w:r>
        <w:rPr>
          <w:spacing w:val="-5"/>
        </w:rPr>
        <w:t xml:space="preserve"> </w:t>
      </w:r>
      <w:r>
        <w:t>study update in 2029</w:t>
      </w:r>
      <w:r w:rsidR="00221EFE">
        <w:t>,</w:t>
      </w:r>
      <w:r>
        <w:t xml:space="preserve"> and </w:t>
      </w:r>
      <w:r w:rsidR="00221EFE">
        <w:t xml:space="preserve">it is </w:t>
      </w:r>
      <w:r>
        <w:t>still in process. Do we bill Relative Service Fee at</w:t>
      </w:r>
      <w:r w:rsidR="00221EFE">
        <w:t xml:space="preserve"> the</w:t>
      </w:r>
      <w:r>
        <w:t xml:space="preserve"> time of </w:t>
      </w:r>
      <w:r w:rsidR="00221EFE">
        <w:t xml:space="preserve">the </w:t>
      </w:r>
      <w:r>
        <w:t>original home study and update</w:t>
      </w:r>
      <w:r w:rsidR="00221EFE">
        <w:t>,</w:t>
      </w:r>
      <w:r>
        <w:t xml:space="preserve"> or just </w:t>
      </w:r>
      <w:r w:rsidR="00221EFE">
        <w:t xml:space="preserve">the </w:t>
      </w:r>
      <w:r>
        <w:t>original home study?</w:t>
      </w:r>
    </w:p>
    <w:p w14:paraId="73CA6580" w14:textId="77777777" w:rsidR="000953C6" w:rsidRPr="006B48BB" w:rsidRDefault="000953C6" w:rsidP="000953C6">
      <w:pPr>
        <w:pStyle w:val="BodyText"/>
        <w:spacing w:line="278" w:lineRule="auto"/>
        <w:ind w:left="0"/>
      </w:pPr>
      <w:r w:rsidRPr="006B48BB">
        <w:t>The relative services fee is to be billed at the time of the original home study approval or upon completion of a home study update. There is no limit to the number of times the Grantee may request reimbursement for this service. The relative service fee is intended to cover coordination activities related to a relative’s home study. Covered services include, but are not limited to, those outlined in Section 2.2.8(a)–(d) of the RFP.</w:t>
      </w:r>
    </w:p>
    <w:p w14:paraId="01C8096E" w14:textId="77777777" w:rsidR="000953C6" w:rsidRPr="006B48BB" w:rsidRDefault="000953C6" w:rsidP="000953C6">
      <w:pPr>
        <w:pStyle w:val="Heading3"/>
      </w:pPr>
      <w:r w:rsidRPr="006B48BB">
        <w:t>Section</w:t>
      </w:r>
      <w:r w:rsidRPr="006B48BB">
        <w:rPr>
          <w:spacing w:val="-5"/>
        </w:rPr>
        <w:t xml:space="preserve"> </w:t>
      </w:r>
      <w:r w:rsidRPr="006B48BB">
        <w:t>2.2,</w:t>
      </w:r>
      <w:r w:rsidRPr="006B48BB">
        <w:rPr>
          <w:spacing w:val="-4"/>
        </w:rPr>
        <w:t xml:space="preserve"> </w:t>
      </w:r>
      <w:r w:rsidRPr="006B48BB">
        <w:t>Item</w:t>
      </w:r>
      <w:r w:rsidRPr="006B48BB">
        <w:rPr>
          <w:spacing w:val="-6"/>
        </w:rPr>
        <w:t xml:space="preserve"> </w:t>
      </w:r>
      <w:r w:rsidRPr="006B48BB">
        <w:t>8:</w:t>
      </w:r>
      <w:r w:rsidRPr="006B48BB">
        <w:rPr>
          <w:spacing w:val="-5"/>
        </w:rPr>
        <w:t xml:space="preserve"> </w:t>
      </w:r>
      <w:r w:rsidRPr="006B48BB">
        <w:t>Relative</w:t>
      </w:r>
      <w:r w:rsidRPr="006B48BB">
        <w:rPr>
          <w:spacing w:val="-3"/>
        </w:rPr>
        <w:t xml:space="preserve"> </w:t>
      </w:r>
      <w:r w:rsidRPr="006B48BB">
        <w:t>Service</w:t>
      </w:r>
      <w:r w:rsidRPr="006B48BB">
        <w:rPr>
          <w:spacing w:val="-3"/>
        </w:rPr>
        <w:t xml:space="preserve"> </w:t>
      </w:r>
      <w:r w:rsidRPr="006B48BB">
        <w:rPr>
          <w:spacing w:val="-5"/>
        </w:rPr>
        <w:t>Fee</w:t>
      </w:r>
    </w:p>
    <w:p w14:paraId="721E733C" w14:textId="2A3C7D1C" w:rsidR="000953C6" w:rsidRDefault="000953C6" w:rsidP="000953C6">
      <w:pPr>
        <w:pStyle w:val="Heading3"/>
      </w:pPr>
      <w:r>
        <w:t>In</w:t>
      </w:r>
      <w:r>
        <w:rPr>
          <w:spacing w:val="-6"/>
        </w:rPr>
        <w:t xml:space="preserve"> </w:t>
      </w:r>
      <w:r>
        <w:t>addition</w:t>
      </w:r>
      <w:r>
        <w:rPr>
          <w:spacing w:val="-8"/>
        </w:rPr>
        <w:t xml:space="preserve"> </w:t>
      </w:r>
      <w:r>
        <w:t>to</w:t>
      </w:r>
      <w:r>
        <w:rPr>
          <w:spacing w:val="-7"/>
        </w:rPr>
        <w:t xml:space="preserve"> </w:t>
      </w:r>
      <w:r>
        <w:t>the</w:t>
      </w:r>
      <w:r>
        <w:rPr>
          <w:spacing w:val="-8"/>
        </w:rPr>
        <w:t xml:space="preserve"> </w:t>
      </w:r>
      <w:r>
        <w:t>question</w:t>
      </w:r>
      <w:r>
        <w:rPr>
          <w:spacing w:val="-6"/>
        </w:rPr>
        <w:t xml:space="preserve"> </w:t>
      </w:r>
      <w:r>
        <w:t>above,</w:t>
      </w:r>
      <w:r>
        <w:rPr>
          <w:spacing w:val="-7"/>
        </w:rPr>
        <w:t xml:space="preserve"> </w:t>
      </w:r>
      <w:r>
        <w:t>we’re</w:t>
      </w:r>
      <w:r>
        <w:rPr>
          <w:spacing w:val="-8"/>
        </w:rPr>
        <w:t xml:space="preserve"> </w:t>
      </w:r>
      <w:r>
        <w:t>curious</w:t>
      </w:r>
      <w:r>
        <w:rPr>
          <w:spacing w:val="-9"/>
        </w:rPr>
        <w:t xml:space="preserve"> </w:t>
      </w:r>
      <w:r>
        <w:t>on</w:t>
      </w:r>
      <w:r>
        <w:rPr>
          <w:spacing w:val="-6"/>
        </w:rPr>
        <w:t xml:space="preserve"> </w:t>
      </w:r>
      <w:r>
        <w:t>expectation</w:t>
      </w:r>
      <w:r>
        <w:rPr>
          <w:spacing w:val="-6"/>
        </w:rPr>
        <w:t xml:space="preserve"> </w:t>
      </w:r>
      <w:r>
        <w:t>around</w:t>
      </w:r>
      <w:r>
        <w:rPr>
          <w:spacing w:val="-6"/>
        </w:rPr>
        <w:t xml:space="preserve"> </w:t>
      </w:r>
      <w:r>
        <w:t>“maintaining</w:t>
      </w:r>
      <w:r>
        <w:rPr>
          <w:spacing w:val="-9"/>
        </w:rPr>
        <w:t xml:space="preserve"> </w:t>
      </w:r>
      <w:r>
        <w:t>documentation</w:t>
      </w:r>
      <w:r>
        <w:rPr>
          <w:spacing w:val="-6"/>
        </w:rPr>
        <w:t xml:space="preserve"> </w:t>
      </w:r>
      <w:r>
        <w:t>of activities</w:t>
      </w:r>
      <w:r>
        <w:rPr>
          <w:spacing w:val="-6"/>
        </w:rPr>
        <w:t xml:space="preserve"> </w:t>
      </w:r>
      <w:r>
        <w:t>regarding</w:t>
      </w:r>
      <w:r>
        <w:rPr>
          <w:spacing w:val="-6"/>
        </w:rPr>
        <w:t xml:space="preserve"> </w:t>
      </w:r>
      <w:r>
        <w:t>the</w:t>
      </w:r>
      <w:r>
        <w:rPr>
          <w:spacing w:val="-7"/>
        </w:rPr>
        <w:t xml:space="preserve"> </w:t>
      </w:r>
      <w:r>
        <w:t>relative</w:t>
      </w:r>
      <w:r>
        <w:rPr>
          <w:spacing w:val="-5"/>
        </w:rPr>
        <w:t xml:space="preserve"> </w:t>
      </w:r>
      <w:r>
        <w:t>adoptive</w:t>
      </w:r>
      <w:r>
        <w:rPr>
          <w:spacing w:val="-7"/>
        </w:rPr>
        <w:t xml:space="preserve"> </w:t>
      </w:r>
      <w:r>
        <w:t>family’s</w:t>
      </w:r>
      <w:r>
        <w:rPr>
          <w:spacing w:val="-8"/>
        </w:rPr>
        <w:t xml:space="preserve"> </w:t>
      </w:r>
      <w:r>
        <w:t>activity”</w:t>
      </w:r>
      <w:r>
        <w:rPr>
          <w:spacing w:val="-5"/>
        </w:rPr>
        <w:t xml:space="preserve"> </w:t>
      </w:r>
      <w:r>
        <w:t>which</w:t>
      </w:r>
      <w:r>
        <w:rPr>
          <w:spacing w:val="-4"/>
        </w:rPr>
        <w:t xml:space="preserve"> </w:t>
      </w:r>
      <w:r>
        <w:t>is</w:t>
      </w:r>
      <w:r>
        <w:rPr>
          <w:spacing w:val="-6"/>
        </w:rPr>
        <w:t xml:space="preserve"> </w:t>
      </w:r>
      <w:r>
        <w:t>listed</w:t>
      </w:r>
      <w:r>
        <w:rPr>
          <w:spacing w:val="-4"/>
        </w:rPr>
        <w:t xml:space="preserve"> </w:t>
      </w:r>
      <w:r>
        <w:t>in</w:t>
      </w:r>
      <w:r>
        <w:rPr>
          <w:spacing w:val="-4"/>
        </w:rPr>
        <w:t xml:space="preserve"> </w:t>
      </w:r>
      <w:r>
        <w:t>items</w:t>
      </w:r>
      <w:r>
        <w:rPr>
          <w:spacing w:val="-6"/>
        </w:rPr>
        <w:t xml:space="preserve"> </w:t>
      </w:r>
      <w:r>
        <w:t>a-d.</w:t>
      </w:r>
      <w:r>
        <w:rPr>
          <w:spacing w:val="-6"/>
        </w:rPr>
        <w:t xml:space="preserve"> </w:t>
      </w:r>
      <w:r>
        <w:t>Is</w:t>
      </w:r>
      <w:r>
        <w:rPr>
          <w:spacing w:val="-6"/>
        </w:rPr>
        <w:t xml:space="preserve"> </w:t>
      </w:r>
      <w:r>
        <w:t>the</w:t>
      </w:r>
      <w:r>
        <w:rPr>
          <w:spacing w:val="-7"/>
        </w:rPr>
        <w:t xml:space="preserve"> </w:t>
      </w:r>
      <w:r>
        <w:t>expectation that we develop some kind of form to formally report this</w:t>
      </w:r>
      <w:r w:rsidR="00BE7DB0">
        <w:t>,</w:t>
      </w:r>
      <w:r>
        <w:t xml:space="preserve"> or would providing proof of documentation via monthly case notes suﬃce?</w:t>
      </w:r>
    </w:p>
    <w:p w14:paraId="1537C06F" w14:textId="0836C9F7" w:rsidR="000953C6" w:rsidRPr="006B48BB" w:rsidRDefault="000953C6" w:rsidP="000953C6">
      <w:pPr>
        <w:rPr>
          <w:sz w:val="24"/>
          <w:szCs w:val="24"/>
        </w:rPr>
      </w:pPr>
      <w:r w:rsidRPr="006B48BB">
        <w:rPr>
          <w:sz w:val="24"/>
          <w:szCs w:val="24"/>
        </w:rPr>
        <w:t xml:space="preserve">Documentation of the activities described in Section 2.2.8(a)–(d) of the RFP is required. The Grantee may use any appropriate method to document that these activities were completed on behalf of the relative. The </w:t>
      </w:r>
      <w:r w:rsidR="00333C96">
        <w:rPr>
          <w:sz w:val="24"/>
          <w:szCs w:val="24"/>
        </w:rPr>
        <w:t>DEPARTMENT</w:t>
      </w:r>
      <w:r w:rsidR="008D652C">
        <w:rPr>
          <w:sz w:val="24"/>
          <w:szCs w:val="24"/>
        </w:rPr>
        <w:t>-</w:t>
      </w:r>
      <w:r w:rsidRPr="006B48BB">
        <w:rPr>
          <w:sz w:val="24"/>
          <w:szCs w:val="24"/>
        </w:rPr>
        <w:t>authorized representative must be able to verify completion of these services upon review of the file.</w:t>
      </w:r>
    </w:p>
    <w:p w14:paraId="16DE21A4" w14:textId="77777777" w:rsidR="000953C6" w:rsidRPr="006B48BB" w:rsidRDefault="000953C6" w:rsidP="000953C6">
      <w:pPr>
        <w:pStyle w:val="Heading3"/>
      </w:pPr>
      <w:r w:rsidRPr="006B48BB">
        <w:t>Section</w:t>
      </w:r>
      <w:r w:rsidRPr="006B48BB">
        <w:rPr>
          <w:spacing w:val="-6"/>
        </w:rPr>
        <w:t xml:space="preserve"> </w:t>
      </w:r>
      <w:r w:rsidRPr="006B48BB">
        <w:t>2.2,</w:t>
      </w:r>
      <w:r w:rsidRPr="006B48BB">
        <w:rPr>
          <w:spacing w:val="-5"/>
        </w:rPr>
        <w:t xml:space="preserve"> </w:t>
      </w:r>
      <w:r w:rsidRPr="006B48BB">
        <w:t>Item</w:t>
      </w:r>
      <w:r w:rsidRPr="006B48BB">
        <w:rPr>
          <w:spacing w:val="-6"/>
        </w:rPr>
        <w:t xml:space="preserve"> </w:t>
      </w:r>
      <w:r w:rsidRPr="006B48BB">
        <w:t>17:</w:t>
      </w:r>
      <w:r w:rsidRPr="006B48BB">
        <w:rPr>
          <w:spacing w:val="-6"/>
        </w:rPr>
        <w:t xml:space="preserve"> </w:t>
      </w:r>
      <w:r w:rsidRPr="006B48BB">
        <w:t>Evaluation</w:t>
      </w:r>
      <w:r w:rsidRPr="006B48BB">
        <w:rPr>
          <w:spacing w:val="-6"/>
        </w:rPr>
        <w:t xml:space="preserve"> </w:t>
      </w:r>
      <w:r w:rsidRPr="006B48BB">
        <w:t>Services</w:t>
      </w:r>
      <w:r w:rsidRPr="006B48BB">
        <w:rPr>
          <w:spacing w:val="-7"/>
        </w:rPr>
        <w:t xml:space="preserve"> </w:t>
      </w:r>
      <w:r w:rsidRPr="006B48BB">
        <w:rPr>
          <w:spacing w:val="-2"/>
        </w:rPr>
        <w:t>Requirements</w:t>
      </w:r>
    </w:p>
    <w:p w14:paraId="62BD56B6" w14:textId="2286D159" w:rsidR="000953C6" w:rsidRDefault="000953C6" w:rsidP="000953C6">
      <w:pPr>
        <w:pStyle w:val="Heading3"/>
      </w:pPr>
      <w:r>
        <w:t>Can you clarify the documentation and reporting requirements for this new service? Is it permissible</w:t>
      </w:r>
      <w:r>
        <w:rPr>
          <w:spacing w:val="-4"/>
        </w:rPr>
        <w:t xml:space="preserve"> </w:t>
      </w:r>
      <w:r>
        <w:t>for</w:t>
      </w:r>
      <w:r>
        <w:rPr>
          <w:spacing w:val="-7"/>
        </w:rPr>
        <w:t xml:space="preserve"> </w:t>
      </w:r>
      <w:r>
        <w:t>us</w:t>
      </w:r>
      <w:r>
        <w:rPr>
          <w:spacing w:val="-7"/>
        </w:rPr>
        <w:t xml:space="preserve"> </w:t>
      </w:r>
      <w:r>
        <w:t>to</w:t>
      </w:r>
      <w:r>
        <w:rPr>
          <w:spacing w:val="-4"/>
        </w:rPr>
        <w:t xml:space="preserve"> </w:t>
      </w:r>
      <w:r>
        <w:t>integrate</w:t>
      </w:r>
      <w:r>
        <w:rPr>
          <w:spacing w:val="-4"/>
        </w:rPr>
        <w:t xml:space="preserve"> </w:t>
      </w:r>
      <w:r>
        <w:t>our</w:t>
      </w:r>
      <w:r>
        <w:rPr>
          <w:spacing w:val="-7"/>
        </w:rPr>
        <w:t xml:space="preserve"> </w:t>
      </w:r>
      <w:r>
        <w:t>report</w:t>
      </w:r>
      <w:r>
        <w:rPr>
          <w:spacing w:val="-6"/>
        </w:rPr>
        <w:t xml:space="preserve"> </w:t>
      </w:r>
      <w:r>
        <w:t>into</w:t>
      </w:r>
      <w:r>
        <w:rPr>
          <w:spacing w:val="-6"/>
        </w:rPr>
        <w:t xml:space="preserve"> </w:t>
      </w:r>
      <w:r>
        <w:t>the</w:t>
      </w:r>
      <w:r>
        <w:rPr>
          <w:spacing w:val="-6"/>
        </w:rPr>
        <w:t xml:space="preserve"> </w:t>
      </w:r>
      <w:r w:rsidR="005015B9">
        <w:t>department’s</w:t>
      </w:r>
      <w:r>
        <w:rPr>
          <w:spacing w:val="-4"/>
        </w:rPr>
        <w:t xml:space="preserve"> </w:t>
      </w:r>
      <w:r>
        <w:t>quarterly</w:t>
      </w:r>
      <w:r>
        <w:rPr>
          <w:spacing w:val="-8"/>
        </w:rPr>
        <w:t xml:space="preserve"> </w:t>
      </w:r>
      <w:r>
        <w:t>report</w:t>
      </w:r>
      <w:r w:rsidR="00D23B12">
        <w:t>,</w:t>
      </w:r>
      <w:r>
        <w:rPr>
          <w:spacing w:val="-6"/>
        </w:rPr>
        <w:t xml:space="preserve"> </w:t>
      </w:r>
      <w:r>
        <w:t>or</w:t>
      </w:r>
      <w:r>
        <w:rPr>
          <w:spacing w:val="-7"/>
        </w:rPr>
        <w:t xml:space="preserve"> </w:t>
      </w:r>
      <w:r>
        <w:t>would</w:t>
      </w:r>
      <w:r>
        <w:rPr>
          <w:spacing w:val="-3"/>
        </w:rPr>
        <w:t xml:space="preserve"> </w:t>
      </w:r>
      <w:r>
        <w:t>it</w:t>
      </w:r>
      <w:r>
        <w:rPr>
          <w:spacing w:val="-6"/>
        </w:rPr>
        <w:t xml:space="preserve"> </w:t>
      </w:r>
      <w:r>
        <w:t>be</w:t>
      </w:r>
      <w:r>
        <w:rPr>
          <w:spacing w:val="-6"/>
        </w:rPr>
        <w:t xml:space="preserve"> </w:t>
      </w:r>
      <w:r>
        <w:t>preferred</w:t>
      </w:r>
      <w:r>
        <w:rPr>
          <w:spacing w:val="-3"/>
        </w:rPr>
        <w:t xml:space="preserve"> </w:t>
      </w:r>
      <w:r>
        <w:t>that we develop our own report based on the Evaluation Services requirements?</w:t>
      </w:r>
    </w:p>
    <w:p w14:paraId="14B45E8F" w14:textId="6E9E13A9" w:rsidR="000953C6" w:rsidRDefault="000953C6" w:rsidP="000953C6">
      <w:pPr>
        <w:pStyle w:val="BodyText"/>
        <w:spacing w:before="43" w:line="278" w:lineRule="auto"/>
        <w:ind w:left="0" w:right="155"/>
      </w:pPr>
      <w:r w:rsidRPr="006B48BB">
        <w:t>If a Grantee is requesting reimbursement for evaluation services, the quarterly report must address the requirements outlined in Section 2.2.17(I)–(IV) of the RFP. The Grantee may choose to submit this information as a separate quarterly report specific to the evaluation of PPPC services</w:t>
      </w:r>
      <w:r w:rsidR="00B126D9">
        <w:t xml:space="preserve"> </w:t>
      </w:r>
      <w:r w:rsidRPr="006B48BB">
        <w:t>or provide it as an attachment. Alternatively, the Grantee may propose another method for submitting the required information on a quarterly basis for reimbursement.</w:t>
      </w:r>
    </w:p>
    <w:p w14:paraId="669C50A4" w14:textId="77777777" w:rsidR="000953C6" w:rsidRPr="006B48BB" w:rsidRDefault="000953C6" w:rsidP="000953C6">
      <w:pPr>
        <w:pStyle w:val="Heading3"/>
      </w:pPr>
      <w:r w:rsidRPr="006B48BB">
        <w:lastRenderedPageBreak/>
        <w:t>Section</w:t>
      </w:r>
      <w:r w:rsidRPr="006B48BB">
        <w:rPr>
          <w:spacing w:val="-6"/>
        </w:rPr>
        <w:t xml:space="preserve"> </w:t>
      </w:r>
      <w:r w:rsidRPr="006B48BB">
        <w:t>2.2,</w:t>
      </w:r>
      <w:r w:rsidRPr="006B48BB">
        <w:rPr>
          <w:spacing w:val="-5"/>
        </w:rPr>
        <w:t xml:space="preserve"> </w:t>
      </w:r>
      <w:r w:rsidRPr="006B48BB">
        <w:t>Item</w:t>
      </w:r>
      <w:r w:rsidRPr="006B48BB">
        <w:rPr>
          <w:spacing w:val="-6"/>
        </w:rPr>
        <w:t xml:space="preserve"> </w:t>
      </w:r>
      <w:r w:rsidRPr="006B48BB">
        <w:t>17:</w:t>
      </w:r>
      <w:r w:rsidRPr="006B48BB">
        <w:rPr>
          <w:spacing w:val="-6"/>
        </w:rPr>
        <w:t xml:space="preserve"> </w:t>
      </w:r>
      <w:r w:rsidRPr="006B48BB">
        <w:t>Evaluation</w:t>
      </w:r>
      <w:r w:rsidRPr="006B48BB">
        <w:rPr>
          <w:spacing w:val="-6"/>
        </w:rPr>
        <w:t xml:space="preserve"> </w:t>
      </w:r>
      <w:r w:rsidRPr="006B48BB">
        <w:t>Services</w:t>
      </w:r>
      <w:r w:rsidRPr="006B48BB">
        <w:rPr>
          <w:spacing w:val="-7"/>
        </w:rPr>
        <w:t xml:space="preserve"> </w:t>
      </w:r>
      <w:r w:rsidRPr="006B48BB">
        <w:rPr>
          <w:spacing w:val="-2"/>
        </w:rPr>
        <w:t>Requirements</w:t>
      </w:r>
    </w:p>
    <w:p w14:paraId="15CE825E" w14:textId="77777777" w:rsidR="000953C6" w:rsidRDefault="000953C6" w:rsidP="000953C6">
      <w:pPr>
        <w:pStyle w:val="Heading3"/>
      </w:pPr>
      <w:r>
        <w:t>In addition to the question above, can you conﬁrm that the expectation is not that we will necessarily be</w:t>
      </w:r>
      <w:r>
        <w:rPr>
          <w:spacing w:val="-4"/>
        </w:rPr>
        <w:t xml:space="preserve"> </w:t>
      </w:r>
      <w:r>
        <w:t>reporting</w:t>
      </w:r>
      <w:r>
        <w:rPr>
          <w:spacing w:val="-5"/>
        </w:rPr>
        <w:t xml:space="preserve"> </w:t>
      </w:r>
      <w:r>
        <w:t>on</w:t>
      </w:r>
      <w:r>
        <w:rPr>
          <w:spacing w:val="-4"/>
        </w:rPr>
        <w:t xml:space="preserve"> </w:t>
      </w:r>
      <w:r>
        <w:t>each</w:t>
      </w:r>
      <w:r>
        <w:rPr>
          <w:spacing w:val="-4"/>
        </w:rPr>
        <w:t xml:space="preserve"> </w:t>
      </w:r>
      <w:r>
        <w:t>item</w:t>
      </w:r>
      <w:r>
        <w:rPr>
          <w:spacing w:val="-2"/>
        </w:rPr>
        <w:t xml:space="preserve"> </w:t>
      </w:r>
      <w:r>
        <w:t>quarterly?</w:t>
      </w:r>
      <w:r>
        <w:rPr>
          <w:spacing w:val="-3"/>
        </w:rPr>
        <w:t xml:space="preserve"> </w:t>
      </w:r>
      <w:r>
        <w:t>Only</w:t>
      </w:r>
      <w:r>
        <w:rPr>
          <w:spacing w:val="-3"/>
        </w:rPr>
        <w:t xml:space="preserve"> </w:t>
      </w:r>
      <w:r>
        <w:t>if</w:t>
      </w:r>
      <w:r>
        <w:rPr>
          <w:spacing w:val="-4"/>
        </w:rPr>
        <w:t xml:space="preserve"> </w:t>
      </w:r>
      <w:r>
        <w:t>one</w:t>
      </w:r>
      <w:r>
        <w:rPr>
          <w:spacing w:val="-4"/>
        </w:rPr>
        <w:t xml:space="preserve"> </w:t>
      </w:r>
      <w:r>
        <w:t>of</w:t>
      </w:r>
      <w:r>
        <w:rPr>
          <w:spacing w:val="-1"/>
        </w:rPr>
        <w:t xml:space="preserve"> </w:t>
      </w:r>
      <w:r>
        <w:t>these</w:t>
      </w:r>
      <w:r>
        <w:rPr>
          <w:spacing w:val="-4"/>
        </w:rPr>
        <w:t xml:space="preserve"> </w:t>
      </w:r>
      <w:r>
        <w:t>billed</w:t>
      </w:r>
      <w:r>
        <w:rPr>
          <w:spacing w:val="-4"/>
        </w:rPr>
        <w:t xml:space="preserve"> </w:t>
      </w:r>
      <w:r>
        <w:t>services</w:t>
      </w:r>
      <w:r>
        <w:rPr>
          <w:spacing w:val="-3"/>
        </w:rPr>
        <w:t xml:space="preserve"> </w:t>
      </w:r>
      <w:r>
        <w:t>occurred</w:t>
      </w:r>
      <w:r>
        <w:rPr>
          <w:spacing w:val="-4"/>
        </w:rPr>
        <w:t xml:space="preserve"> </w:t>
      </w:r>
      <w:r>
        <w:t>within</w:t>
      </w:r>
      <w:r>
        <w:rPr>
          <w:spacing w:val="-1"/>
        </w:rPr>
        <w:t xml:space="preserve"> </w:t>
      </w:r>
      <w:r>
        <w:t>the</w:t>
      </w:r>
      <w:r>
        <w:rPr>
          <w:spacing w:val="-4"/>
        </w:rPr>
        <w:t xml:space="preserve"> </w:t>
      </w:r>
      <w:r>
        <w:t>quarter</w:t>
      </w:r>
      <w:r>
        <w:rPr>
          <w:spacing w:val="-2"/>
        </w:rPr>
        <w:t xml:space="preserve"> </w:t>
      </w:r>
      <w:r>
        <w:t>do we need to report on the required items, correct?</w:t>
      </w:r>
    </w:p>
    <w:p w14:paraId="544617E6" w14:textId="77777777" w:rsidR="00002A4C" w:rsidRDefault="000953C6" w:rsidP="000953C6">
      <w:pPr>
        <w:pStyle w:val="BodyText"/>
        <w:spacing w:before="45" w:line="278" w:lineRule="auto"/>
        <w:ind w:left="0" w:right="155"/>
      </w:pPr>
      <w:r w:rsidRPr="006B48BB">
        <w:t xml:space="preserve">Section 2.2.17 of the RFP states that if a Grantee is requesting reimbursement for evaluation services, the submission must include a summary of the evaluation activities completed and the timeframe reviewed. There is no requirement that the services being evaluated </w:t>
      </w:r>
      <w:r w:rsidR="00002A4C">
        <w:t>be</w:t>
      </w:r>
      <w:r w:rsidRPr="006B48BB">
        <w:t xml:space="preserve"> delivered within a specific quarter to request reimbursement.</w:t>
      </w:r>
    </w:p>
    <w:p w14:paraId="520EF412" w14:textId="22BD53D7" w:rsidR="000953C6" w:rsidRPr="00B12293" w:rsidRDefault="000953C6" w:rsidP="000953C6">
      <w:pPr>
        <w:pStyle w:val="BodyText"/>
        <w:spacing w:before="45" w:line="278" w:lineRule="auto"/>
        <w:ind w:left="0" w:right="155"/>
      </w:pPr>
      <w:r w:rsidRPr="00B12293">
        <w:t>The intent of this provision is to strengthen the evaluation of PPPC services and assess their effectiveness. Accordingly, Grantees should consider this objective when proposing and conducting evaluation services.</w:t>
      </w:r>
    </w:p>
    <w:p w14:paraId="00353038" w14:textId="6BFDE664" w:rsidR="00BE0C59" w:rsidRPr="00CA1782" w:rsidRDefault="00BE0C59" w:rsidP="00BE0C59">
      <w:pPr>
        <w:pStyle w:val="Heading3"/>
      </w:pPr>
      <w:r w:rsidRPr="00CA1782">
        <w:t xml:space="preserve">We'd be interested in collaborating with other agencies on the evaluation criteria section to give the state more effective data; however, </w:t>
      </w:r>
      <w:r w:rsidR="000276A0" w:rsidRPr="00CA1782">
        <w:t xml:space="preserve">we </w:t>
      </w:r>
      <w:r w:rsidRPr="00CA1782">
        <w:t xml:space="preserve">don't feel like we have enough time to properly plan and coordinate this project before the deadline. Is there </w:t>
      </w:r>
      <w:r w:rsidR="000276A0" w:rsidRPr="00CA1782">
        <w:t xml:space="preserve">the </w:t>
      </w:r>
      <w:r w:rsidRPr="00CA1782">
        <w:t>possibility to include this with amendments in later years?</w:t>
      </w:r>
    </w:p>
    <w:p w14:paraId="48F73F18" w14:textId="77777777" w:rsidR="000F7644" w:rsidRPr="00CA1782" w:rsidRDefault="000F7644" w:rsidP="000F7644">
      <w:bookmarkStart w:id="1" w:name="_Hlk223350753"/>
      <w:r w:rsidRPr="00CA1782">
        <w:t xml:space="preserve">This is a requirement of the RFP if the responder is addressing the services identified in Section 2.1(a), which specifies the minimum services that proposals must include. Any proposal that does not include the required elements will be scored accordingly. As a result, if the final score is deemed insufficient, the contract may not be awarded. </w:t>
      </w:r>
    </w:p>
    <w:p w14:paraId="38A7BE39" w14:textId="305AF555" w:rsidR="000F7644" w:rsidRPr="00923854" w:rsidRDefault="000F7644" w:rsidP="000F7644">
      <w:pPr>
        <w:rPr>
          <w:rFonts w:eastAsiaTheme="majorEastAsia"/>
        </w:rPr>
      </w:pPr>
      <w:r w:rsidRPr="00CA1782">
        <w:t>The intent of this provision is to strengthen the evaluation of PPPC services and assess their effectiveness. Accordingly, Grantees should consider this objective when proposing and conducting evaluation services.</w:t>
      </w:r>
      <w:r w:rsidRPr="00CA1782">
        <w:rPr>
          <w:rFonts w:eastAsiaTheme="majorEastAsia"/>
        </w:rPr>
        <w:t xml:space="preserve"> Regarding the RFP Section 2.2, Task 17 Evaluation Services, it is appropriate and sufficient for a responder to propose evaluation services only for the services their own organization provides.</w:t>
      </w:r>
      <w:r w:rsidRPr="00923854">
        <w:rPr>
          <w:rFonts w:eastAsiaTheme="majorEastAsia"/>
        </w:rPr>
        <w:t> </w:t>
      </w:r>
    </w:p>
    <w:bookmarkEnd w:id="1"/>
    <w:p w14:paraId="24E6E3F8" w14:textId="0CC2250A" w:rsidR="000953C6" w:rsidRDefault="000953C6" w:rsidP="000953C6">
      <w:pPr>
        <w:pStyle w:val="Heading3"/>
      </w:pPr>
      <w:r>
        <w:lastRenderedPageBreak/>
        <w:t>Section</w:t>
      </w:r>
      <w:r>
        <w:rPr>
          <w:spacing w:val="-4"/>
        </w:rPr>
        <w:t xml:space="preserve"> </w:t>
      </w:r>
      <w:r>
        <w:t>2.</w:t>
      </w:r>
      <w:r>
        <w:rPr>
          <w:spacing w:val="-2"/>
        </w:rPr>
        <w:t xml:space="preserve"> </w:t>
      </w:r>
      <w:r>
        <w:t>Scope</w:t>
      </w:r>
      <w:r>
        <w:rPr>
          <w:spacing w:val="-4"/>
        </w:rPr>
        <w:t xml:space="preserve"> </w:t>
      </w:r>
      <w:r>
        <w:t xml:space="preserve">of </w:t>
      </w:r>
      <w:r>
        <w:rPr>
          <w:spacing w:val="-4"/>
        </w:rPr>
        <w:t>Work</w:t>
      </w:r>
    </w:p>
    <w:p w14:paraId="48C46DBF" w14:textId="77777777" w:rsidR="000953C6" w:rsidRDefault="000953C6" w:rsidP="000953C6">
      <w:pPr>
        <w:pStyle w:val="Heading3"/>
      </w:pPr>
      <w:r>
        <w:t>It</w:t>
      </w:r>
      <w:r>
        <w:rPr>
          <w:spacing w:val="-6"/>
        </w:rPr>
        <w:t xml:space="preserve"> </w:t>
      </w:r>
      <w:r>
        <w:t>appears</w:t>
      </w:r>
      <w:r>
        <w:rPr>
          <w:spacing w:val="-5"/>
        </w:rPr>
        <w:t xml:space="preserve"> </w:t>
      </w:r>
      <w:r>
        <w:t>as</w:t>
      </w:r>
      <w:r>
        <w:rPr>
          <w:spacing w:val="-7"/>
        </w:rPr>
        <w:t xml:space="preserve"> </w:t>
      </w:r>
      <w:r>
        <w:t>though</w:t>
      </w:r>
      <w:r>
        <w:rPr>
          <w:spacing w:val="-4"/>
        </w:rPr>
        <w:t xml:space="preserve"> </w:t>
      </w:r>
      <w:r>
        <w:t>Innovative</w:t>
      </w:r>
      <w:r>
        <w:rPr>
          <w:spacing w:val="-4"/>
        </w:rPr>
        <w:t xml:space="preserve"> </w:t>
      </w:r>
      <w:r>
        <w:t>Family</w:t>
      </w:r>
      <w:r>
        <w:rPr>
          <w:spacing w:val="-5"/>
        </w:rPr>
        <w:t xml:space="preserve"> </w:t>
      </w:r>
      <w:r>
        <w:t>Finding</w:t>
      </w:r>
      <w:r>
        <w:rPr>
          <w:spacing w:val="-7"/>
        </w:rPr>
        <w:t xml:space="preserve"> </w:t>
      </w:r>
      <w:r>
        <w:t>(IFF)</w:t>
      </w:r>
      <w:r>
        <w:rPr>
          <w:spacing w:val="-5"/>
        </w:rPr>
        <w:t xml:space="preserve"> </w:t>
      </w:r>
      <w:r>
        <w:t>is</w:t>
      </w:r>
      <w:r>
        <w:rPr>
          <w:spacing w:val="-5"/>
        </w:rPr>
        <w:t xml:space="preserve"> </w:t>
      </w:r>
      <w:r>
        <w:t>not</w:t>
      </w:r>
      <w:r>
        <w:rPr>
          <w:spacing w:val="-6"/>
        </w:rPr>
        <w:t xml:space="preserve"> </w:t>
      </w:r>
      <w:r>
        <w:t>listed</w:t>
      </w:r>
      <w:r>
        <w:rPr>
          <w:spacing w:val="-6"/>
        </w:rPr>
        <w:t xml:space="preserve"> </w:t>
      </w:r>
      <w:r>
        <w:t>as</w:t>
      </w:r>
      <w:r>
        <w:rPr>
          <w:spacing w:val="-5"/>
        </w:rPr>
        <w:t xml:space="preserve"> </w:t>
      </w:r>
      <w:r>
        <w:t>a</w:t>
      </w:r>
      <w:r>
        <w:rPr>
          <w:spacing w:val="-7"/>
        </w:rPr>
        <w:t xml:space="preserve"> </w:t>
      </w:r>
      <w:r>
        <w:t>billable</w:t>
      </w:r>
      <w:r>
        <w:rPr>
          <w:spacing w:val="-4"/>
        </w:rPr>
        <w:t xml:space="preserve"> </w:t>
      </w:r>
      <w:r>
        <w:t>PPPC</w:t>
      </w:r>
      <w:r>
        <w:rPr>
          <w:spacing w:val="-5"/>
        </w:rPr>
        <w:t xml:space="preserve"> </w:t>
      </w:r>
      <w:r>
        <w:t>service</w:t>
      </w:r>
      <w:r>
        <w:rPr>
          <w:spacing w:val="-4"/>
        </w:rPr>
        <w:t xml:space="preserve"> </w:t>
      </w:r>
      <w:r>
        <w:t>in</w:t>
      </w:r>
      <w:r>
        <w:rPr>
          <w:spacing w:val="-4"/>
        </w:rPr>
        <w:t xml:space="preserve"> </w:t>
      </w:r>
      <w:r>
        <w:t>this</w:t>
      </w:r>
      <w:r>
        <w:rPr>
          <w:spacing w:val="-5"/>
        </w:rPr>
        <w:t xml:space="preserve"> </w:t>
      </w:r>
      <w:r>
        <w:t>RFP. Can you please conﬁrm whether this service will continue under PPPC in RFP 2027-2030?</w:t>
      </w:r>
    </w:p>
    <w:p w14:paraId="414E0FFA" w14:textId="77777777" w:rsidR="00B126D9" w:rsidRDefault="00B126D9" w:rsidP="000953C6">
      <w:pPr>
        <w:pStyle w:val="Heading3"/>
        <w:rPr>
          <w:rFonts w:ascii="Calibri" w:eastAsia="Calibri" w:hAnsi="Calibri" w:cs="Calibri"/>
          <w:b w:val="0"/>
          <w:color w:val="auto"/>
          <w:kern w:val="0"/>
          <w:sz w:val="24"/>
          <w14:ligatures w14:val="none"/>
        </w:rPr>
      </w:pPr>
      <w:bookmarkStart w:id="2" w:name="_Hlk222838922"/>
      <w:r w:rsidRPr="00B126D9">
        <w:rPr>
          <w:rFonts w:ascii="Calibri" w:eastAsia="Calibri" w:hAnsi="Calibri" w:cs="Calibri"/>
          <w:b w:val="0"/>
          <w:color w:val="auto"/>
          <w:kern w:val="0"/>
          <w:sz w:val="24"/>
          <w14:ligatures w14:val="none"/>
        </w:rPr>
        <w:t>Family finding services were not included in this RFP. If a Grantee wishes to propose additional services that were not specifically requested in this RFP, they may choose to submit those services in response to other RFP opportunities.</w:t>
      </w:r>
    </w:p>
    <w:p w14:paraId="0E810171" w14:textId="77777777" w:rsidR="00C2537F" w:rsidRPr="00CA1782" w:rsidRDefault="00C2537F" w:rsidP="00C2537F">
      <w:pPr>
        <w:pStyle w:val="Heading3"/>
      </w:pPr>
      <w:bookmarkStart w:id="3" w:name="_Hlk223351052"/>
      <w:r w:rsidRPr="00CA1782">
        <w:t>From our reading of this RFP, our Relative Search and Engagement Services under Renee's KinLink and Relative Search department are not covered by PPPC going forward. Are we reading this correctly?</w:t>
      </w:r>
    </w:p>
    <w:p w14:paraId="666B58AC" w14:textId="10F98FF3" w:rsidR="00C2537F" w:rsidRPr="00CA1782" w:rsidRDefault="00C2537F" w:rsidP="00C2537F">
      <w:pPr>
        <w:rPr>
          <w:rFonts w:eastAsia="Calibri" w:cs="Calibri"/>
          <w:kern w:val="0"/>
          <w:sz w:val="24"/>
          <w14:ligatures w14:val="none"/>
        </w:rPr>
      </w:pPr>
      <w:bookmarkStart w:id="4" w:name="_Hlk223350665"/>
      <w:r w:rsidRPr="00CA1782">
        <w:rPr>
          <w:rFonts w:eastAsia="Calibri" w:cs="Calibri"/>
          <w:kern w:val="0"/>
          <w:sz w:val="24"/>
          <w14:ligatures w14:val="none"/>
        </w:rPr>
        <w:t>Relative Search and Engagement Services were not included in this RFP. If a Grantee wishes to propose additional services that were not specifically requested in this RFP, they may choose to submit those services in response to other RFP opportunities.</w:t>
      </w:r>
    </w:p>
    <w:bookmarkEnd w:id="4"/>
    <w:bookmarkEnd w:id="3"/>
    <w:p w14:paraId="4294E6C2" w14:textId="77777777" w:rsidR="00C2537F" w:rsidRPr="00CA1782" w:rsidRDefault="00C2537F" w:rsidP="00C2537F">
      <w:pPr>
        <w:pStyle w:val="Heading3"/>
      </w:pPr>
      <w:r w:rsidRPr="00CA1782">
        <w:t>We believe we could help meet the goal to increase relative services by over 25% by using this program with DeLink funds to serve more PPPC youth, open more placement opportunities that match a youth's culture and identity, and engage more relatives.  Would writing a proposal to utilize these relative search programs narrative fit the proposed use of DeLink funds in this RFP?</w:t>
      </w:r>
    </w:p>
    <w:p w14:paraId="2E045BCB" w14:textId="1BC0741C" w:rsidR="00C2537F" w:rsidRPr="00C2537F" w:rsidRDefault="00C2537F" w:rsidP="00C2537F">
      <w:pPr>
        <w:rPr>
          <w:rFonts w:eastAsia="Calibri"/>
        </w:rPr>
      </w:pPr>
      <w:bookmarkStart w:id="5" w:name="_Hlk223350688"/>
      <w:r w:rsidRPr="00CA1782">
        <w:rPr>
          <w:rFonts w:eastAsia="Calibri" w:cs="Calibri"/>
          <w:kern w:val="0"/>
          <w:sz w:val="24"/>
          <w14:ligatures w14:val="none"/>
        </w:rPr>
        <w:t>If a Grantee wishes to propose additional services that were not specifically requested in this RFP, they may choose to submit those services in response to other RFP opportunities.</w:t>
      </w:r>
    </w:p>
    <w:bookmarkEnd w:id="2"/>
    <w:bookmarkEnd w:id="5"/>
    <w:p w14:paraId="04943696" w14:textId="19959EE2" w:rsidR="000953C6" w:rsidRPr="006B48BB" w:rsidRDefault="000953C6" w:rsidP="000953C6">
      <w:pPr>
        <w:pStyle w:val="Heading3"/>
      </w:pPr>
      <w:r w:rsidRPr="006B48BB">
        <w:t>Section 2. Scope of Work Based on the new RFP, is there any possibility or guidance on how to be reimbursed</w:t>
      </w:r>
      <w:r w:rsidRPr="006B48BB">
        <w:rPr>
          <w:spacing w:val="-8"/>
        </w:rPr>
        <w:t xml:space="preserve"> </w:t>
      </w:r>
      <w:r w:rsidRPr="006B48BB">
        <w:t>for</w:t>
      </w:r>
      <w:r w:rsidRPr="006B48BB">
        <w:rPr>
          <w:spacing w:val="-6"/>
        </w:rPr>
        <w:t xml:space="preserve"> </w:t>
      </w:r>
      <w:r w:rsidRPr="006B48BB">
        <w:t>services</w:t>
      </w:r>
      <w:r w:rsidRPr="006B48BB">
        <w:rPr>
          <w:spacing w:val="-8"/>
        </w:rPr>
        <w:t xml:space="preserve"> </w:t>
      </w:r>
      <w:r w:rsidRPr="006B48BB">
        <w:t>where</w:t>
      </w:r>
      <w:r w:rsidRPr="006B48BB">
        <w:rPr>
          <w:spacing w:val="-6"/>
        </w:rPr>
        <w:t xml:space="preserve"> </w:t>
      </w:r>
      <w:r w:rsidRPr="006B48BB">
        <w:t>staﬀ</w:t>
      </w:r>
      <w:r w:rsidRPr="006B48BB">
        <w:rPr>
          <w:spacing w:val="-7"/>
        </w:rPr>
        <w:t xml:space="preserve"> </w:t>
      </w:r>
      <w:r w:rsidRPr="006B48BB">
        <w:t>spend</w:t>
      </w:r>
      <w:r w:rsidRPr="006B48BB">
        <w:rPr>
          <w:spacing w:val="-8"/>
        </w:rPr>
        <w:t xml:space="preserve"> </w:t>
      </w:r>
      <w:r w:rsidRPr="006B48BB">
        <w:t>signiﬁcant</w:t>
      </w:r>
      <w:r w:rsidRPr="006B48BB">
        <w:rPr>
          <w:spacing w:val="-8"/>
        </w:rPr>
        <w:t xml:space="preserve"> </w:t>
      </w:r>
      <w:r w:rsidRPr="006B48BB">
        <w:t>time</w:t>
      </w:r>
      <w:r w:rsidRPr="006B48BB">
        <w:rPr>
          <w:spacing w:val="-6"/>
        </w:rPr>
        <w:t xml:space="preserve"> </w:t>
      </w:r>
      <w:r w:rsidRPr="006B48BB">
        <w:t>engaging</w:t>
      </w:r>
      <w:r w:rsidRPr="006B48BB">
        <w:rPr>
          <w:spacing w:val="-7"/>
        </w:rPr>
        <w:t xml:space="preserve"> </w:t>
      </w:r>
      <w:r w:rsidRPr="006B48BB">
        <w:t>in</w:t>
      </w:r>
      <w:r w:rsidRPr="006B48BB">
        <w:rPr>
          <w:spacing w:val="-5"/>
        </w:rPr>
        <w:t xml:space="preserve"> </w:t>
      </w:r>
      <w:r w:rsidRPr="006B48BB">
        <w:t>services</w:t>
      </w:r>
      <w:r w:rsidRPr="006B48BB">
        <w:rPr>
          <w:spacing w:val="-7"/>
        </w:rPr>
        <w:t xml:space="preserve"> </w:t>
      </w:r>
      <w:r w:rsidRPr="006B48BB">
        <w:t>but</w:t>
      </w:r>
      <w:r w:rsidRPr="006B48BB">
        <w:rPr>
          <w:spacing w:val="-8"/>
        </w:rPr>
        <w:t xml:space="preserve"> </w:t>
      </w:r>
      <w:r w:rsidRPr="006B48BB">
        <w:t>ultimately</w:t>
      </w:r>
      <w:r w:rsidRPr="006B48BB">
        <w:rPr>
          <w:spacing w:val="-6"/>
        </w:rPr>
        <w:t xml:space="preserve"> </w:t>
      </w:r>
      <w:r w:rsidRPr="006B48BB">
        <w:t>don’t</w:t>
      </w:r>
      <w:r w:rsidRPr="006B48BB">
        <w:rPr>
          <w:spacing w:val="-8"/>
        </w:rPr>
        <w:t xml:space="preserve"> </w:t>
      </w:r>
      <w:r w:rsidRPr="006B48BB">
        <w:t>end in a billable outcome?</w:t>
      </w:r>
    </w:p>
    <w:p w14:paraId="44FEC3E0" w14:textId="491C40E3" w:rsidR="000953C6" w:rsidRDefault="000953C6" w:rsidP="000953C6">
      <w:pPr>
        <w:pStyle w:val="Heading3"/>
      </w:pPr>
      <w:r>
        <w:t>Example:</w:t>
      </w:r>
      <w:r>
        <w:rPr>
          <w:spacing w:val="-6"/>
        </w:rPr>
        <w:t xml:space="preserve"> </w:t>
      </w:r>
      <w:r>
        <w:t>Staﬀ</w:t>
      </w:r>
      <w:r>
        <w:rPr>
          <w:spacing w:val="-7"/>
        </w:rPr>
        <w:t xml:space="preserve"> </w:t>
      </w:r>
      <w:r>
        <w:t>spend</w:t>
      </w:r>
      <w:r>
        <w:rPr>
          <w:spacing w:val="-8"/>
        </w:rPr>
        <w:t xml:space="preserve"> </w:t>
      </w:r>
      <w:r>
        <w:t>signiﬁcant</w:t>
      </w:r>
      <w:r>
        <w:rPr>
          <w:spacing w:val="-8"/>
        </w:rPr>
        <w:t xml:space="preserve"> </w:t>
      </w:r>
      <w:r>
        <w:t>time</w:t>
      </w:r>
      <w:r>
        <w:rPr>
          <w:spacing w:val="-8"/>
        </w:rPr>
        <w:t xml:space="preserve"> </w:t>
      </w:r>
      <w:r>
        <w:t>attempting</w:t>
      </w:r>
      <w:r>
        <w:rPr>
          <w:spacing w:val="-9"/>
        </w:rPr>
        <w:t xml:space="preserve"> </w:t>
      </w:r>
      <w:r>
        <w:t>to</w:t>
      </w:r>
      <w:r>
        <w:rPr>
          <w:spacing w:val="-6"/>
        </w:rPr>
        <w:t xml:space="preserve"> </w:t>
      </w:r>
      <w:r>
        <w:t>complete</w:t>
      </w:r>
      <w:r>
        <w:rPr>
          <w:spacing w:val="-6"/>
        </w:rPr>
        <w:t xml:space="preserve"> </w:t>
      </w:r>
      <w:r>
        <w:t>a</w:t>
      </w:r>
      <w:r>
        <w:rPr>
          <w:spacing w:val="-6"/>
        </w:rPr>
        <w:t xml:space="preserve"> </w:t>
      </w:r>
      <w:r>
        <w:t>relative/kinship</w:t>
      </w:r>
      <w:r>
        <w:rPr>
          <w:spacing w:val="-8"/>
        </w:rPr>
        <w:t xml:space="preserve"> </w:t>
      </w:r>
      <w:r>
        <w:t>home</w:t>
      </w:r>
      <w:r>
        <w:rPr>
          <w:spacing w:val="-6"/>
        </w:rPr>
        <w:t xml:space="preserve"> </w:t>
      </w:r>
      <w:r w:rsidR="00855561">
        <w:t>study but</w:t>
      </w:r>
      <w:r>
        <w:rPr>
          <w:spacing w:val="-8"/>
        </w:rPr>
        <w:t xml:space="preserve"> </w:t>
      </w:r>
      <w:r>
        <w:t>cannot complete enough to bill or make it to approval/licensure</w:t>
      </w:r>
      <w:r w:rsidR="00A67CBF">
        <w:t>.</w:t>
      </w:r>
    </w:p>
    <w:p w14:paraId="7CAD48BB" w14:textId="70A7375D" w:rsidR="000953C6" w:rsidRDefault="000953C6" w:rsidP="000953C6">
      <w:pPr>
        <w:pStyle w:val="Heading3"/>
      </w:pPr>
      <w:r>
        <w:t>Example</w:t>
      </w:r>
      <w:r>
        <w:rPr>
          <w:spacing w:val="-4"/>
        </w:rPr>
        <w:t xml:space="preserve"> </w:t>
      </w:r>
      <w:r>
        <w:t>2:</w:t>
      </w:r>
      <w:r>
        <w:rPr>
          <w:spacing w:val="-4"/>
        </w:rPr>
        <w:t xml:space="preserve"> </w:t>
      </w:r>
      <w:r>
        <w:t>Staﬀ</w:t>
      </w:r>
      <w:r>
        <w:rPr>
          <w:spacing w:val="-5"/>
        </w:rPr>
        <w:t xml:space="preserve"> </w:t>
      </w:r>
      <w:r>
        <w:t>spend</w:t>
      </w:r>
      <w:r>
        <w:rPr>
          <w:spacing w:val="-3"/>
        </w:rPr>
        <w:t xml:space="preserve"> </w:t>
      </w:r>
      <w:r>
        <w:t>signiﬁcant</w:t>
      </w:r>
      <w:r>
        <w:rPr>
          <w:spacing w:val="-6"/>
        </w:rPr>
        <w:t xml:space="preserve"> </w:t>
      </w:r>
      <w:r>
        <w:t>time</w:t>
      </w:r>
      <w:r>
        <w:rPr>
          <w:spacing w:val="-6"/>
        </w:rPr>
        <w:t xml:space="preserve"> </w:t>
      </w:r>
      <w:r>
        <w:t>working</w:t>
      </w:r>
      <w:r>
        <w:rPr>
          <w:spacing w:val="-7"/>
        </w:rPr>
        <w:t xml:space="preserve"> </w:t>
      </w:r>
      <w:r>
        <w:t>on</w:t>
      </w:r>
      <w:r>
        <w:rPr>
          <w:spacing w:val="-3"/>
        </w:rPr>
        <w:t xml:space="preserve"> </w:t>
      </w:r>
      <w:r>
        <w:t>matching</w:t>
      </w:r>
      <w:r>
        <w:rPr>
          <w:spacing w:val="-7"/>
        </w:rPr>
        <w:t xml:space="preserve"> </w:t>
      </w:r>
      <w:r>
        <w:t>and</w:t>
      </w:r>
      <w:r>
        <w:rPr>
          <w:spacing w:val="-6"/>
        </w:rPr>
        <w:t xml:space="preserve"> </w:t>
      </w:r>
      <w:r>
        <w:t>ultimately</w:t>
      </w:r>
      <w:r>
        <w:rPr>
          <w:spacing w:val="-5"/>
        </w:rPr>
        <w:t xml:space="preserve"> </w:t>
      </w:r>
      <w:r>
        <w:t>are</w:t>
      </w:r>
      <w:r>
        <w:rPr>
          <w:spacing w:val="-6"/>
        </w:rPr>
        <w:t xml:space="preserve"> </w:t>
      </w:r>
      <w:r>
        <w:t>unable</w:t>
      </w:r>
      <w:r>
        <w:rPr>
          <w:spacing w:val="-6"/>
        </w:rPr>
        <w:t xml:space="preserve"> </w:t>
      </w:r>
      <w:r>
        <w:t>to</w:t>
      </w:r>
      <w:r>
        <w:rPr>
          <w:spacing w:val="-6"/>
        </w:rPr>
        <w:t xml:space="preserve"> </w:t>
      </w:r>
      <w:r>
        <w:t>support</w:t>
      </w:r>
      <w:r>
        <w:rPr>
          <w:spacing w:val="-6"/>
        </w:rPr>
        <w:t xml:space="preserve"> </w:t>
      </w:r>
      <w:r>
        <w:t>a placement for a signiﬁcant amount of time</w:t>
      </w:r>
      <w:r w:rsidR="00A67CBF">
        <w:t>,</w:t>
      </w:r>
      <w:r>
        <w:t xml:space="preserve"> or</w:t>
      </w:r>
      <w:r w:rsidR="00A67CBF">
        <w:t xml:space="preserve"> the</w:t>
      </w:r>
      <w:r>
        <w:t xml:space="preserve"> license is closed</w:t>
      </w:r>
      <w:r w:rsidR="00A67CBF">
        <w:t>.</w:t>
      </w:r>
    </w:p>
    <w:p w14:paraId="3381510B" w14:textId="4732052B" w:rsidR="000953C6" w:rsidRPr="000953C6" w:rsidRDefault="000953C6" w:rsidP="000953C6">
      <w:pPr>
        <w:tabs>
          <w:tab w:val="left" w:pos="820"/>
        </w:tabs>
        <w:spacing w:line="276" w:lineRule="auto"/>
        <w:ind w:right="116"/>
        <w:rPr>
          <w:sz w:val="24"/>
        </w:rPr>
      </w:pPr>
      <w:r w:rsidRPr="006B48BB">
        <w:rPr>
          <w:sz w:val="24"/>
        </w:rPr>
        <w:t xml:space="preserve">As this RFP is structured around outcome-based reimbursement, </w:t>
      </w:r>
      <w:r w:rsidR="00A67CBF">
        <w:rPr>
          <w:sz w:val="24"/>
        </w:rPr>
        <w:t xml:space="preserve">the flat reimbursement rates are intended to </w:t>
      </w:r>
      <w:r w:rsidRPr="006B48BB">
        <w:rPr>
          <w:sz w:val="24"/>
        </w:rPr>
        <w:t xml:space="preserve">account for variations in the amount of staff time required to complete services, as well as situations in which a service may not ultimately be eligible for reimbursement. </w:t>
      </w:r>
      <w:r w:rsidR="005015B9">
        <w:rPr>
          <w:sz w:val="24"/>
        </w:rPr>
        <w:t>The department</w:t>
      </w:r>
      <w:r w:rsidRPr="006B48BB">
        <w:rPr>
          <w:sz w:val="24"/>
        </w:rPr>
        <w:t xml:space="preserve">’s </w:t>
      </w:r>
      <w:r w:rsidRPr="006B48BB">
        <w:rPr>
          <w:sz w:val="24"/>
        </w:rPr>
        <w:lastRenderedPageBreak/>
        <w:t>intent in establishing service fees, outreach fees and similar payments is to reimburse grantees for staff time expended outside of the larger reimbursement milestones.</w:t>
      </w:r>
    </w:p>
    <w:p w14:paraId="3478B096" w14:textId="3516C6A8" w:rsidR="00B077F9" w:rsidRDefault="00B077F9" w:rsidP="00B21096">
      <w:pPr>
        <w:pStyle w:val="Heading3"/>
      </w:pPr>
      <w:r w:rsidRPr="00B077F9">
        <w:t>Is it permissible for us to bill PPPC for PAS services even if the client had not previously been a PPPC family? We are considering ways we might be able to better utilize PAS with PPPC funding regardless of where case began (i.e</w:t>
      </w:r>
      <w:r w:rsidR="00BC6B61">
        <w:t>.,</w:t>
      </w:r>
      <w:r w:rsidRPr="00B077F9">
        <w:t xml:space="preserve"> a case getting referred to us from a county post</w:t>
      </w:r>
      <w:r>
        <w:t xml:space="preserve"> </w:t>
      </w:r>
      <w:r w:rsidRPr="00B077F9">
        <w:t>placement or finalization). Does it have to be “adoption” with TPR</w:t>
      </w:r>
      <w:r w:rsidR="00BC6B61">
        <w:t>,</w:t>
      </w:r>
      <w:r w:rsidRPr="00B077F9">
        <w:t xml:space="preserve"> or can a placement be permanency with a TPLPC? </w:t>
      </w:r>
    </w:p>
    <w:p w14:paraId="4AC0355F" w14:textId="34337615" w:rsidR="00B077F9" w:rsidRPr="00B077F9" w:rsidRDefault="00B077F9" w:rsidP="00B077F9">
      <w:r>
        <w:t>I</w:t>
      </w:r>
      <w:r w:rsidRPr="00B077F9">
        <w:t xml:space="preserve">n Section 2.2.16, the RFP states that PPPC agencies provide post-permanency services to families who have adopted children previously under the guardianship of the </w:t>
      </w:r>
      <w:r w:rsidR="00BC6B61">
        <w:t>c</w:t>
      </w:r>
      <w:r w:rsidRPr="00B077F9">
        <w:t>ommissioner or Tribal guardianship, or who have finalized a TPLPC. There is no requirement that a family previously received services through the PPPC program to be eligible to receive post-permanency services.</w:t>
      </w:r>
    </w:p>
    <w:p w14:paraId="7679B677" w14:textId="6016BA41" w:rsidR="003A18F3" w:rsidRPr="00CA1782" w:rsidRDefault="003A18F3" w:rsidP="003A18F3">
      <w:pPr>
        <w:pStyle w:val="Heading3"/>
      </w:pPr>
      <w:r w:rsidRPr="00CA1782">
        <w:t>Given the fact that we can provide PAS services to “any” client that has finalized an adoption with TPR or has permanency with TPLPC, does this also apply to all case types</w:t>
      </w:r>
      <w:r w:rsidR="0004656D" w:rsidRPr="00CA1782">
        <w:t>,</w:t>
      </w:r>
      <w:r w:rsidRPr="00CA1782">
        <w:t xml:space="preserve"> such as Infant/Private Adoption or International Adoption client’s? </w:t>
      </w:r>
    </w:p>
    <w:p w14:paraId="3517D2BD" w14:textId="4D1FFA78" w:rsidR="003A18F3" w:rsidRDefault="003A18F3" w:rsidP="003A18F3">
      <w:r w:rsidRPr="00CA1782">
        <w:rPr>
          <w:rFonts w:eastAsiaTheme="majorEastAsia"/>
        </w:rPr>
        <w:t xml:space="preserve">In Section 2.2.16, the RFP states that PPPC agencies provide post-permanency services to families who have adopted children previously under the guardianship of the </w:t>
      </w:r>
      <w:r w:rsidR="0004656D" w:rsidRPr="00CA1782">
        <w:rPr>
          <w:rFonts w:eastAsiaTheme="majorEastAsia"/>
        </w:rPr>
        <w:t>c</w:t>
      </w:r>
      <w:r w:rsidRPr="00CA1782">
        <w:rPr>
          <w:rFonts w:eastAsiaTheme="majorEastAsia"/>
        </w:rPr>
        <w:t xml:space="preserve">ommissioner or Tribal guardianship, or who have finalized a TPLPC. Therefore, if a family has adopted a child who was not under </w:t>
      </w:r>
      <w:r w:rsidR="0015332A" w:rsidRPr="00CA1782">
        <w:rPr>
          <w:rFonts w:eastAsiaTheme="majorEastAsia"/>
        </w:rPr>
        <w:t>c</w:t>
      </w:r>
      <w:r w:rsidRPr="00CA1782">
        <w:rPr>
          <w:rFonts w:eastAsiaTheme="majorEastAsia"/>
        </w:rPr>
        <w:t>ommissioner or Tribal guardianship, or who has not finalized a TPLPC, they would not be eligible for the post</w:t>
      </w:r>
      <w:r w:rsidR="0015332A" w:rsidRPr="00CA1782">
        <w:rPr>
          <w:rFonts w:eastAsiaTheme="majorEastAsia"/>
        </w:rPr>
        <w:t>-</w:t>
      </w:r>
      <w:r w:rsidRPr="00CA1782">
        <w:rPr>
          <w:rFonts w:eastAsiaTheme="majorEastAsia"/>
        </w:rPr>
        <w:t>permanency service</w:t>
      </w:r>
      <w:r w:rsidR="0015332A" w:rsidRPr="00CA1782">
        <w:rPr>
          <w:rFonts w:eastAsiaTheme="majorEastAsia"/>
        </w:rPr>
        <w:t>s</w:t>
      </w:r>
      <w:r w:rsidRPr="00CA1782">
        <w:rPr>
          <w:rFonts w:eastAsiaTheme="majorEastAsia"/>
        </w:rPr>
        <w:t xml:space="preserve"> included in this RFP.</w:t>
      </w:r>
      <w:r w:rsidRPr="003A18F3">
        <w:rPr>
          <w:rFonts w:eastAsiaTheme="majorEastAsia"/>
        </w:rPr>
        <w:t> </w:t>
      </w:r>
    </w:p>
    <w:p w14:paraId="01B3523D" w14:textId="41BA138F" w:rsidR="00B21096" w:rsidRPr="00B21096" w:rsidRDefault="00B21096" w:rsidP="00B21096">
      <w:pPr>
        <w:pStyle w:val="Heading3"/>
      </w:pPr>
      <w:r w:rsidRPr="00B21096">
        <w:t>What is the 25% supposed to be designated to support? Must it support the program directly</w:t>
      </w:r>
      <w:r w:rsidR="006A4987">
        <w:t>,</w:t>
      </w:r>
      <w:r w:rsidRPr="00B21096">
        <w:t xml:space="preserve"> or can it be used to support the agency administering the program?</w:t>
      </w:r>
    </w:p>
    <w:p w14:paraId="1F5B6CA4" w14:textId="3267EDC1" w:rsidR="001B1B68" w:rsidRDefault="00B21096" w:rsidP="00B21096">
      <w:r w:rsidRPr="00B21096">
        <w:t xml:space="preserve">The 25% match requirement is intended to support the contract services outlined in this RFP. However, responders may propose a match plan that supports either the direct delivery of contract services or the broader operational capacity of the </w:t>
      </w:r>
      <w:r w:rsidR="004B20DD">
        <w:t>program's administering agency</w:t>
      </w:r>
      <w:r w:rsidRPr="00B21096">
        <w:t xml:space="preserve">. Responders should describe how the 25% match will best support their organization’s overall operations, including managing typical fluctuations in service delivery and corresponding variations in contract reimbursement throughout the fiscal year. Because this contract provides direct services to children, youth and families, it is essential that responders demonstrate ongoing organizational efforts to secure funding beyond </w:t>
      </w:r>
      <w:r w:rsidR="005015B9">
        <w:t xml:space="preserve">the department’s </w:t>
      </w:r>
      <w:r w:rsidRPr="00B21096">
        <w:t>contract funds to ensure sustainability and continuity of services</w:t>
      </w:r>
      <w:r>
        <w:t>.</w:t>
      </w:r>
    </w:p>
    <w:p w14:paraId="1057A2E9" w14:textId="11F9C364" w:rsidR="000717E1" w:rsidRPr="00CA1782" w:rsidRDefault="000717E1" w:rsidP="000717E1">
      <w:pPr>
        <w:pStyle w:val="Heading3"/>
      </w:pPr>
      <w:r w:rsidRPr="00CA1782">
        <w:t>We appreciate lowering the match requirement from 25% to the difficult but more manageable 15%. For our own fundraising purposes</w:t>
      </w:r>
      <w:r w:rsidR="004B20DD" w:rsidRPr="00CA1782">
        <w:t>,</w:t>
      </w:r>
      <w:r w:rsidRPr="00CA1782">
        <w:t xml:space="preserve"> when communicating to donors the required support needed, how was the match requirement amount decided?</w:t>
      </w:r>
    </w:p>
    <w:p w14:paraId="4897285E" w14:textId="0CE4DC72" w:rsidR="000717E1" w:rsidRDefault="000717E1" w:rsidP="00CC62D6">
      <w:pPr>
        <w:pStyle w:val="Heading3"/>
      </w:pPr>
      <w:bookmarkStart w:id="6" w:name="_Hlk223350400"/>
      <w:r w:rsidRPr="00CA1782">
        <w:rPr>
          <w:rFonts w:ascii="Calibri" w:eastAsia="Times New Roman" w:hAnsi="Calibri" w:cs="Times New Roman"/>
          <w:b w:val="0"/>
          <w:color w:val="auto"/>
          <w:sz w:val="22"/>
          <w:szCs w:val="22"/>
        </w:rPr>
        <w:t xml:space="preserve">Because this contract delivers direct services to children, youth and families, responders must demonstrate ongoing organizational efforts to secure funding beyond </w:t>
      </w:r>
      <w:r w:rsidR="005015B9" w:rsidRPr="00CA1782">
        <w:rPr>
          <w:rFonts w:ascii="Calibri" w:eastAsia="Times New Roman" w:hAnsi="Calibri" w:cs="Times New Roman"/>
          <w:b w:val="0"/>
          <w:color w:val="auto"/>
          <w:sz w:val="22"/>
          <w:szCs w:val="22"/>
        </w:rPr>
        <w:t>the department’s</w:t>
      </w:r>
      <w:r w:rsidRPr="00CA1782">
        <w:rPr>
          <w:rFonts w:ascii="Calibri" w:eastAsia="Times New Roman" w:hAnsi="Calibri" w:cs="Times New Roman"/>
          <w:b w:val="0"/>
          <w:color w:val="auto"/>
          <w:sz w:val="22"/>
          <w:szCs w:val="22"/>
        </w:rPr>
        <w:t xml:space="preserve"> contract funds to ensure the </w:t>
      </w:r>
      <w:r w:rsidRPr="00CA1782">
        <w:rPr>
          <w:rFonts w:ascii="Calibri" w:eastAsia="Times New Roman" w:hAnsi="Calibri" w:cs="Times New Roman"/>
          <w:b w:val="0"/>
          <w:color w:val="auto"/>
          <w:sz w:val="22"/>
          <w:szCs w:val="22"/>
        </w:rPr>
        <w:lastRenderedPageBreak/>
        <w:t xml:space="preserve">sustainability and continuity of services. </w:t>
      </w:r>
      <w:bookmarkStart w:id="7" w:name="_Hlk223351231"/>
      <w:r w:rsidR="00E836C5" w:rsidRPr="00CA1782">
        <w:rPr>
          <w:rFonts w:ascii="Calibri" w:eastAsia="Times New Roman" w:hAnsi="Calibri" w:cs="Times New Roman"/>
          <w:b w:val="0"/>
          <w:color w:val="auto"/>
          <w:sz w:val="22"/>
          <w:szCs w:val="22"/>
        </w:rPr>
        <w:t xml:space="preserve">The match requirement was set at a level deemed reasonable to support overall organizational operations, including managing fluctuations in service delivery, variations in contract reimbursement during the fiscal year and standard </w:t>
      </w:r>
      <w:r w:rsidR="00B16C53" w:rsidRPr="00CA1782">
        <w:rPr>
          <w:rFonts w:ascii="Calibri" w:eastAsia="Times New Roman" w:hAnsi="Calibri" w:cs="Times New Roman"/>
          <w:b w:val="0"/>
          <w:color w:val="auto"/>
          <w:sz w:val="22"/>
          <w:szCs w:val="22"/>
        </w:rPr>
        <w:t xml:space="preserve">department </w:t>
      </w:r>
      <w:r w:rsidR="00E836C5" w:rsidRPr="00CA1782">
        <w:rPr>
          <w:rFonts w:ascii="Calibri" w:eastAsia="Times New Roman" w:hAnsi="Calibri" w:cs="Times New Roman"/>
          <w:b w:val="0"/>
          <w:color w:val="auto"/>
          <w:sz w:val="22"/>
          <w:szCs w:val="22"/>
        </w:rPr>
        <w:t>match expectations.</w:t>
      </w:r>
      <w:bookmarkEnd w:id="7"/>
    </w:p>
    <w:bookmarkEnd w:id="6"/>
    <w:p w14:paraId="7E4F12EE" w14:textId="3EF5A75A" w:rsidR="00CC62D6" w:rsidRPr="00B21096" w:rsidRDefault="000717E1" w:rsidP="00CC62D6">
      <w:pPr>
        <w:pStyle w:val="Heading3"/>
      </w:pPr>
      <w:r w:rsidRPr="00B21096">
        <w:t>What</w:t>
      </w:r>
      <w:r w:rsidR="00CC62D6" w:rsidRPr="00B21096">
        <w:t xml:space="preserve"> if these funds cannot be raised? Is there a claw</w:t>
      </w:r>
      <w:r w:rsidR="009A009F">
        <w:t>-</w:t>
      </w:r>
      <w:r w:rsidR="00CC62D6" w:rsidRPr="00B21096">
        <w:t xml:space="preserve">back? </w:t>
      </w:r>
    </w:p>
    <w:p w14:paraId="1F93A5DF" w14:textId="2E8E700E" w:rsidR="00CC62D6" w:rsidRPr="00CC62D6" w:rsidRDefault="00CC62D6" w:rsidP="00CC62D6">
      <w:r w:rsidRPr="00B21096">
        <w:t>Successful responders must provide documentation demonstrating a good</w:t>
      </w:r>
      <w:r w:rsidR="00F11F9E">
        <w:t>-</w:t>
      </w:r>
      <w:r w:rsidRPr="00B21096">
        <w:t xml:space="preserve">faith effort to meet the 25% match requirement. If a responder is unable to fully meet this requirement, </w:t>
      </w:r>
      <w:r w:rsidR="00B16C53">
        <w:t xml:space="preserve">department </w:t>
      </w:r>
      <w:r w:rsidRPr="00B21096">
        <w:t xml:space="preserve">staff will review the submitted documentation to assess the organization’s efforts and determine whether the demonstration standard has been satisfied. If it is determined that an agency is consistently unable to meet the match requirement, </w:t>
      </w:r>
      <w:r w:rsidR="00B16C53">
        <w:t>the department</w:t>
      </w:r>
      <w:r w:rsidRPr="00B21096">
        <w:t xml:space="preserve"> will engage the organization in discussions to address the challenges. These discussions may include developing a specific corrective action plan or, if necessary, adjusting contract funding levels to better align with the organization’s capacity to meet the match requirement. There will be no formal </w:t>
      </w:r>
      <w:r w:rsidR="009A009F">
        <w:t>claw-back</w:t>
      </w:r>
      <w:r w:rsidRPr="00B21096">
        <w:t xml:space="preserve"> of funds related to the 25% match requirement.</w:t>
      </w:r>
    </w:p>
    <w:p w14:paraId="2C815694" w14:textId="71853D75" w:rsidR="00923854" w:rsidRPr="00923854" w:rsidRDefault="00923854" w:rsidP="00923854">
      <w:pPr>
        <w:pStyle w:val="Heading3"/>
        <w:rPr>
          <w:bCs/>
        </w:rPr>
      </w:pPr>
      <w:r w:rsidRPr="00923854">
        <w:rPr>
          <w:bCs/>
        </w:rPr>
        <w:t>If an agency can demonstrate strong ability to provide services, but cannot commit to fundraising a full 25% match, will they be disqualified?</w:t>
      </w:r>
    </w:p>
    <w:p w14:paraId="78E3266F" w14:textId="1C8C05AC" w:rsidR="00923854" w:rsidRPr="00923854" w:rsidRDefault="00923854" w:rsidP="00923854">
      <w:pPr>
        <w:rPr>
          <w:rFonts w:eastAsiaTheme="majorEastAsia"/>
          <w:bCs/>
        </w:rPr>
      </w:pPr>
      <w:r w:rsidRPr="00923854">
        <w:rPr>
          <w:rFonts w:eastAsiaTheme="majorEastAsia"/>
        </w:rPr>
        <w:t>The RFP states the following: All Responders must include a 25% match to funding awarded for PPPC services. Responders must have a robust plan for matching funds to ensure they support PPPC services beyond grant funding. Ten percent of the 25% match may be in</w:t>
      </w:r>
      <w:r w:rsidR="00AD0E4F">
        <w:rPr>
          <w:rFonts w:eastAsiaTheme="majorEastAsia"/>
        </w:rPr>
        <w:t>-</w:t>
      </w:r>
      <w:r w:rsidRPr="00923854">
        <w:rPr>
          <w:rFonts w:eastAsiaTheme="majorEastAsia"/>
        </w:rPr>
        <w:t>kind donations</w:t>
      </w:r>
      <w:r w:rsidR="00AD0E4F">
        <w:rPr>
          <w:rFonts w:eastAsiaTheme="majorEastAsia"/>
        </w:rPr>
        <w:t>;</w:t>
      </w:r>
      <w:r w:rsidRPr="00923854">
        <w:rPr>
          <w:rFonts w:eastAsiaTheme="majorEastAsia"/>
        </w:rPr>
        <w:t xml:space="preserve"> Responders may propose a higher percentage of in</w:t>
      </w:r>
      <w:r w:rsidR="00AD0E4F">
        <w:rPr>
          <w:rFonts w:eastAsiaTheme="majorEastAsia"/>
        </w:rPr>
        <w:t>-</w:t>
      </w:r>
      <w:r w:rsidRPr="00923854">
        <w:rPr>
          <w:rFonts w:eastAsiaTheme="majorEastAsia"/>
        </w:rPr>
        <w:t xml:space="preserve">kind </w:t>
      </w:r>
      <w:r w:rsidR="00855561" w:rsidRPr="00923854">
        <w:rPr>
          <w:rFonts w:eastAsiaTheme="majorEastAsia"/>
        </w:rPr>
        <w:t>donation</w:t>
      </w:r>
      <w:r w:rsidR="00855561">
        <w:rPr>
          <w:rFonts w:eastAsiaTheme="majorEastAsia"/>
        </w:rPr>
        <w:t>s but</w:t>
      </w:r>
      <w:r w:rsidRPr="00923854">
        <w:rPr>
          <w:rFonts w:eastAsiaTheme="majorEastAsia"/>
        </w:rPr>
        <w:t xml:space="preserve"> must include a thorough justification in the proposal. Because this is a mandatory requirement of the RFP, any proposal that does not include the required elements will be scored accordingly. As a result, if the final score is deemed insufficient, the contract may not be awarded.</w:t>
      </w:r>
    </w:p>
    <w:p w14:paraId="3D4669C9" w14:textId="77777777" w:rsidR="00923854" w:rsidRPr="00923854" w:rsidRDefault="00923854" w:rsidP="00923854">
      <w:pPr>
        <w:pStyle w:val="Heading3"/>
        <w:rPr>
          <w:bCs/>
        </w:rPr>
      </w:pPr>
      <w:r w:rsidRPr="00923854">
        <w:rPr>
          <w:bCs/>
        </w:rPr>
        <w:t>If an agency develops a plan to meet this funding match but falls short, how would that be handled by the state?</w:t>
      </w:r>
    </w:p>
    <w:p w14:paraId="5155086E" w14:textId="2735E698" w:rsidR="00923854" w:rsidRPr="00923854" w:rsidRDefault="00923854" w:rsidP="00923854">
      <w:pPr>
        <w:rPr>
          <w:rFonts w:eastAsiaTheme="majorEastAsia"/>
        </w:rPr>
      </w:pPr>
      <w:r w:rsidRPr="00923854">
        <w:rPr>
          <w:rFonts w:eastAsiaTheme="majorEastAsia"/>
        </w:rPr>
        <w:t xml:space="preserve">Successful </w:t>
      </w:r>
      <w:r w:rsidR="003C155A">
        <w:rPr>
          <w:rFonts w:eastAsiaTheme="majorEastAsia"/>
        </w:rPr>
        <w:t>R</w:t>
      </w:r>
      <w:r w:rsidRPr="00923854">
        <w:rPr>
          <w:rFonts w:eastAsiaTheme="majorEastAsia"/>
        </w:rPr>
        <w:t>esponders must provide documentation demonstrating a good</w:t>
      </w:r>
      <w:r w:rsidR="003C155A">
        <w:rPr>
          <w:rFonts w:eastAsiaTheme="majorEastAsia"/>
        </w:rPr>
        <w:t>-</w:t>
      </w:r>
      <w:r w:rsidRPr="00923854">
        <w:rPr>
          <w:rFonts w:eastAsiaTheme="majorEastAsia"/>
        </w:rPr>
        <w:t xml:space="preserve">faith effort to meet the 25% match requirement. If a </w:t>
      </w:r>
      <w:r w:rsidR="003C155A">
        <w:rPr>
          <w:rFonts w:eastAsiaTheme="majorEastAsia"/>
        </w:rPr>
        <w:t>R</w:t>
      </w:r>
      <w:r w:rsidRPr="00923854">
        <w:rPr>
          <w:rFonts w:eastAsiaTheme="majorEastAsia"/>
        </w:rPr>
        <w:t xml:space="preserve">esponder is unable to fully meet this requirement, </w:t>
      </w:r>
      <w:r w:rsidR="004108DD">
        <w:rPr>
          <w:rFonts w:eastAsiaTheme="majorEastAsia"/>
        </w:rPr>
        <w:t>department</w:t>
      </w:r>
      <w:r w:rsidRPr="00923854">
        <w:rPr>
          <w:rFonts w:eastAsiaTheme="majorEastAsia"/>
        </w:rPr>
        <w:t xml:space="preserve"> staff will review the submitted documentation to assess the organization’s efforts and determine whether the demonstration standard has been satisfied. If it is determined that an agency is consistently unable to meet the match requirement, </w:t>
      </w:r>
      <w:r w:rsidR="001D2C2F">
        <w:rPr>
          <w:rFonts w:eastAsiaTheme="majorEastAsia"/>
        </w:rPr>
        <w:t>the department</w:t>
      </w:r>
      <w:r w:rsidRPr="00923854">
        <w:rPr>
          <w:rFonts w:eastAsiaTheme="majorEastAsia"/>
        </w:rPr>
        <w:t xml:space="preserve"> will engage the organization in discussions to address the challenges. These discussions may include developing a specific corrective action plan or, if necessary, adjusting contract funding levels to better align with the organization’s capacity to meet the match requirement.</w:t>
      </w:r>
    </w:p>
    <w:p w14:paraId="46313795" w14:textId="77777777" w:rsidR="00923854" w:rsidRPr="00923854" w:rsidRDefault="00923854" w:rsidP="00923854">
      <w:pPr>
        <w:pStyle w:val="Heading3"/>
        <w:rPr>
          <w:bCs/>
        </w:rPr>
      </w:pPr>
      <w:r w:rsidRPr="00923854">
        <w:rPr>
          <w:bCs/>
        </w:rPr>
        <w:t>This requirement will potentially rule out or dissuade a number of smaller and culturally based organizations – how does this fit the state’s requirements around equitable and inclusive grantmaking practices?</w:t>
      </w:r>
    </w:p>
    <w:p w14:paraId="692E1DE0" w14:textId="2030681A" w:rsidR="00923854" w:rsidRPr="00923854" w:rsidRDefault="001D2C2F" w:rsidP="00923854">
      <w:pPr>
        <w:rPr>
          <w:rFonts w:eastAsiaTheme="majorEastAsia"/>
        </w:rPr>
      </w:pPr>
      <w:r>
        <w:rPr>
          <w:rFonts w:eastAsiaTheme="majorEastAsia"/>
        </w:rPr>
        <w:t>The department</w:t>
      </w:r>
      <w:r w:rsidR="00923854" w:rsidRPr="00923854">
        <w:rPr>
          <w:rFonts w:eastAsiaTheme="majorEastAsia"/>
        </w:rPr>
        <w:t xml:space="preserve"> is committed to ensuring equitable and inclusive grantmaking practices. The RFP states 10% of the 25% match may be in</w:t>
      </w:r>
      <w:r w:rsidR="0077159A">
        <w:rPr>
          <w:rFonts w:eastAsiaTheme="majorEastAsia"/>
        </w:rPr>
        <w:t>-</w:t>
      </w:r>
      <w:r w:rsidR="00923854" w:rsidRPr="00923854">
        <w:rPr>
          <w:rFonts w:eastAsiaTheme="majorEastAsia"/>
        </w:rPr>
        <w:t>kind donations</w:t>
      </w:r>
      <w:r w:rsidR="0077159A">
        <w:rPr>
          <w:rFonts w:eastAsiaTheme="majorEastAsia"/>
        </w:rPr>
        <w:t>;</w:t>
      </w:r>
      <w:r w:rsidR="00923854" w:rsidRPr="00923854">
        <w:rPr>
          <w:rFonts w:eastAsiaTheme="majorEastAsia"/>
        </w:rPr>
        <w:t xml:space="preserve"> Responders may propose a higher percentage of i</w:t>
      </w:r>
      <w:r w:rsidR="0077159A">
        <w:rPr>
          <w:rFonts w:eastAsiaTheme="majorEastAsia"/>
        </w:rPr>
        <w:t>-</w:t>
      </w:r>
      <w:r w:rsidR="00923854" w:rsidRPr="00923854">
        <w:rPr>
          <w:rFonts w:eastAsiaTheme="majorEastAsia"/>
        </w:rPr>
        <w:t xml:space="preserve"> kind </w:t>
      </w:r>
      <w:r w:rsidR="00855561" w:rsidRPr="00923854">
        <w:rPr>
          <w:rFonts w:eastAsiaTheme="majorEastAsia"/>
        </w:rPr>
        <w:t>donation</w:t>
      </w:r>
      <w:r w:rsidR="00855561">
        <w:rPr>
          <w:rFonts w:eastAsiaTheme="majorEastAsia"/>
        </w:rPr>
        <w:t>s but</w:t>
      </w:r>
      <w:r w:rsidR="00923854" w:rsidRPr="00923854">
        <w:rPr>
          <w:rFonts w:eastAsiaTheme="majorEastAsia"/>
        </w:rPr>
        <w:t xml:space="preserve"> must include a thorough justification</w:t>
      </w:r>
      <w:r w:rsidR="0077159A">
        <w:rPr>
          <w:rFonts w:eastAsiaTheme="majorEastAsia"/>
        </w:rPr>
        <w:t xml:space="preserve"> </w:t>
      </w:r>
      <w:r w:rsidR="00923854" w:rsidRPr="00923854">
        <w:rPr>
          <w:rFonts w:eastAsiaTheme="majorEastAsia"/>
        </w:rPr>
        <w:t>in the proposal</w:t>
      </w:r>
      <w:r w:rsidR="0077159A">
        <w:rPr>
          <w:rFonts w:eastAsiaTheme="majorEastAsia"/>
        </w:rPr>
        <w:t>.</w:t>
      </w:r>
      <w:r w:rsidR="00923854" w:rsidRPr="00923854">
        <w:rPr>
          <w:rFonts w:eastAsiaTheme="majorEastAsia"/>
        </w:rPr>
        <w:t xml:space="preserve"> Respondents may propose a higher amount of in-kind </w:t>
      </w:r>
      <w:r w:rsidR="00923854" w:rsidRPr="00923854">
        <w:rPr>
          <w:rFonts w:eastAsiaTheme="majorEastAsia"/>
        </w:rPr>
        <w:lastRenderedPageBreak/>
        <w:t xml:space="preserve">match support, with appropriate justification, to meet the 25% match requirement. If an organization anticipates difficulty securing funding to </w:t>
      </w:r>
      <w:r w:rsidR="00834122">
        <w:rPr>
          <w:rFonts w:eastAsiaTheme="majorEastAsia"/>
        </w:rPr>
        <w:t>meet the 25% match requirement, it is encouraged to explore options to meet</w:t>
      </w:r>
      <w:r w:rsidR="00923854" w:rsidRPr="00923854">
        <w:rPr>
          <w:rFonts w:eastAsiaTheme="majorEastAsia"/>
        </w:rPr>
        <w:t xml:space="preserve"> the match through in-kind services. Because this contract provides direct services to children, youth and families, it is essential that responders demonstrate ongoing organizational efforts to secure funding beyond </w:t>
      </w:r>
      <w:r>
        <w:rPr>
          <w:rFonts w:eastAsiaTheme="majorEastAsia"/>
        </w:rPr>
        <w:t>the department’s</w:t>
      </w:r>
      <w:r w:rsidR="00923854" w:rsidRPr="00923854">
        <w:rPr>
          <w:rFonts w:eastAsiaTheme="majorEastAsia"/>
        </w:rPr>
        <w:t xml:space="preserve"> contract funds to ensure sustainability and continuity of services.</w:t>
      </w:r>
    </w:p>
    <w:p w14:paraId="293D16E8" w14:textId="33706A2E" w:rsidR="00923854" w:rsidRPr="00923854" w:rsidRDefault="00923854" w:rsidP="00923854">
      <w:pPr>
        <w:pStyle w:val="Heading3"/>
        <w:rPr>
          <w:bCs/>
        </w:rPr>
      </w:pPr>
      <w:r w:rsidRPr="00923854">
        <w:rPr>
          <w:bCs/>
        </w:rPr>
        <w:t xml:space="preserve">What are some specific examples of </w:t>
      </w:r>
      <w:r w:rsidR="00371154">
        <w:rPr>
          <w:bCs/>
        </w:rPr>
        <w:t>w</w:t>
      </w:r>
      <w:r w:rsidRPr="00923854">
        <w:rPr>
          <w:bCs/>
        </w:rPr>
        <w:t>hat the state approves of as examples of “in-kind” matching funds?</w:t>
      </w:r>
    </w:p>
    <w:p w14:paraId="27A497C7" w14:textId="5A655912" w:rsidR="00923854" w:rsidRPr="00923854" w:rsidRDefault="001D2C2F" w:rsidP="00923854">
      <w:pPr>
        <w:rPr>
          <w:rFonts w:eastAsiaTheme="majorEastAsia"/>
        </w:rPr>
      </w:pPr>
      <w:r>
        <w:rPr>
          <w:rFonts w:eastAsiaTheme="majorEastAsia"/>
        </w:rPr>
        <w:t>The department</w:t>
      </w:r>
      <w:r w:rsidR="00923854" w:rsidRPr="00923854">
        <w:rPr>
          <w:rFonts w:eastAsiaTheme="majorEastAsia"/>
        </w:rPr>
        <w:t xml:space="preserve"> will consider in-kind match contributions proposed by a </w:t>
      </w:r>
      <w:r w:rsidR="00371154">
        <w:rPr>
          <w:rFonts w:eastAsiaTheme="majorEastAsia"/>
        </w:rPr>
        <w:t>R</w:t>
      </w:r>
      <w:r w:rsidR="00923854" w:rsidRPr="00923854">
        <w:rPr>
          <w:rFonts w:eastAsiaTheme="majorEastAsia"/>
        </w:rPr>
        <w:t xml:space="preserve">esponder, provided they include sufficient justification. Adequate justification should explain how the in-kind support contributes </w:t>
      </w:r>
      <w:r w:rsidR="00371154">
        <w:rPr>
          <w:rFonts w:eastAsiaTheme="majorEastAsia"/>
        </w:rPr>
        <w:t xml:space="preserve">to either the direct delivery of contract services or </w:t>
      </w:r>
      <w:r w:rsidR="00923854" w:rsidRPr="00923854">
        <w:rPr>
          <w:rFonts w:eastAsiaTheme="majorEastAsia"/>
        </w:rPr>
        <w:t>the overall operational capacity of the organization administering the program. Examples of in-kind match may include, but are not limited to, personnel and volunteer time, goods and supplies, office space and facilities, donated services or other forms of indirect support.</w:t>
      </w:r>
    </w:p>
    <w:p w14:paraId="2B822AAF" w14:textId="77777777" w:rsidR="00C2537F" w:rsidRPr="00CA1782" w:rsidRDefault="00C2537F" w:rsidP="00C2537F">
      <w:pPr>
        <w:pStyle w:val="Heading3"/>
      </w:pPr>
      <w:r w:rsidRPr="00CA1782">
        <w:t>When calculating volunteer time by general community volunteers, should we use the Do Good Institute's "cost of a volunteer's time" stat of $34.79 per hour?</w:t>
      </w:r>
    </w:p>
    <w:p w14:paraId="1D30B613" w14:textId="716B9374" w:rsidR="00C2537F" w:rsidRDefault="001D2C2F" w:rsidP="00923854">
      <w:pPr>
        <w:pStyle w:val="Heading3"/>
        <w:rPr>
          <w:rFonts w:ascii="Calibri" w:hAnsi="Calibri" w:cs="Times New Roman"/>
          <w:b w:val="0"/>
          <w:color w:val="auto"/>
          <w:sz w:val="22"/>
          <w:szCs w:val="22"/>
        </w:rPr>
      </w:pPr>
      <w:bookmarkStart w:id="8" w:name="_Hlk223350545"/>
      <w:r w:rsidRPr="00CA1782">
        <w:rPr>
          <w:rFonts w:ascii="Calibri" w:hAnsi="Calibri" w:cs="Times New Roman"/>
          <w:b w:val="0"/>
          <w:color w:val="auto"/>
          <w:sz w:val="22"/>
          <w:szCs w:val="22"/>
        </w:rPr>
        <w:t>The department</w:t>
      </w:r>
      <w:r w:rsidR="00C2537F" w:rsidRPr="00CA1782">
        <w:rPr>
          <w:rFonts w:ascii="Calibri" w:hAnsi="Calibri" w:cs="Times New Roman"/>
          <w:b w:val="0"/>
          <w:color w:val="auto"/>
          <w:sz w:val="22"/>
          <w:szCs w:val="22"/>
        </w:rPr>
        <w:t xml:space="preserve"> will consider in-kind match contributions proposed by a </w:t>
      </w:r>
      <w:r w:rsidR="00E40EEE" w:rsidRPr="00CA1782">
        <w:rPr>
          <w:rFonts w:ascii="Calibri" w:hAnsi="Calibri" w:cs="Times New Roman"/>
          <w:b w:val="0"/>
          <w:color w:val="auto"/>
          <w:sz w:val="22"/>
          <w:szCs w:val="22"/>
        </w:rPr>
        <w:t>R</w:t>
      </w:r>
      <w:r w:rsidR="00C2537F" w:rsidRPr="00CA1782">
        <w:rPr>
          <w:rFonts w:ascii="Calibri" w:hAnsi="Calibri" w:cs="Times New Roman"/>
          <w:b w:val="0"/>
          <w:color w:val="auto"/>
          <w:sz w:val="22"/>
          <w:szCs w:val="22"/>
        </w:rPr>
        <w:t xml:space="preserve">esponder, provided sufficient justification is included. Such justification must clearly explain how the in-kind support contributes </w:t>
      </w:r>
      <w:r w:rsidR="00DB58EE" w:rsidRPr="00CA1782">
        <w:rPr>
          <w:rFonts w:ascii="Calibri" w:hAnsi="Calibri" w:cs="Times New Roman"/>
          <w:b w:val="0"/>
          <w:color w:val="auto"/>
          <w:sz w:val="22"/>
          <w:szCs w:val="22"/>
        </w:rPr>
        <w:t xml:space="preserve">to either the direct delivery of contract services or </w:t>
      </w:r>
      <w:r w:rsidR="00C2537F" w:rsidRPr="00CA1782">
        <w:rPr>
          <w:rFonts w:ascii="Calibri" w:hAnsi="Calibri" w:cs="Times New Roman"/>
          <w:b w:val="0"/>
          <w:color w:val="auto"/>
          <w:sz w:val="22"/>
          <w:szCs w:val="22"/>
        </w:rPr>
        <w:t>the overall operational capacity of the organization administering the program. The Do Good Institute’s “cost of a volunteer’s time” was not specified in the RFP.</w:t>
      </w:r>
    </w:p>
    <w:bookmarkEnd w:id="8"/>
    <w:p w14:paraId="705F6A6F" w14:textId="5517B780" w:rsidR="00923854" w:rsidRPr="00923854" w:rsidRDefault="00923854" w:rsidP="00923854">
      <w:pPr>
        <w:pStyle w:val="Heading3"/>
        <w:rPr>
          <w:bCs/>
        </w:rPr>
      </w:pPr>
      <w:r w:rsidRPr="00923854">
        <w:rPr>
          <w:bCs/>
        </w:rPr>
        <w:t>If an organization receives individual giving and general operating funds that generally support the child welfare work of the agency</w:t>
      </w:r>
      <w:r w:rsidR="00F25C0E">
        <w:rPr>
          <w:bCs/>
        </w:rPr>
        <w:t>,</w:t>
      </w:r>
      <w:r w:rsidRPr="00923854">
        <w:rPr>
          <w:bCs/>
        </w:rPr>
        <w:t xml:space="preserve"> does that count?</w:t>
      </w:r>
    </w:p>
    <w:p w14:paraId="1783068F" w14:textId="03D6AE08" w:rsidR="00923854" w:rsidRPr="00923854" w:rsidRDefault="00923854" w:rsidP="00923854">
      <w:pPr>
        <w:rPr>
          <w:rFonts w:eastAsiaTheme="majorEastAsia"/>
        </w:rPr>
      </w:pPr>
      <w:r w:rsidRPr="00923854">
        <w:rPr>
          <w:rFonts w:eastAsiaTheme="majorEastAsia"/>
        </w:rPr>
        <w:t xml:space="preserve">The 25% match requirement is intended to support the contract services outlined in this RFP. However, responders may propose a match plan that supports either the direct delivery of contract services or the broader operational capacity of the </w:t>
      </w:r>
      <w:r w:rsidR="00550945">
        <w:rPr>
          <w:rFonts w:eastAsiaTheme="majorEastAsia"/>
        </w:rPr>
        <w:t>program's administering agency</w:t>
      </w:r>
      <w:r w:rsidRPr="00923854">
        <w:rPr>
          <w:rFonts w:eastAsiaTheme="majorEastAsia"/>
        </w:rPr>
        <w:t xml:space="preserve">. Responders should describe how the 25% match will best support their organization’s overall operations, including managing typical fluctuations in service delivery and corresponding variations in contract reimbursement throughout the fiscal year. Because this contract provides direct services to children, youth and families, it is essential that responders demonstrate ongoing organizational efforts to secure funding beyond </w:t>
      </w:r>
      <w:r w:rsidR="001D2C2F">
        <w:rPr>
          <w:rFonts w:eastAsiaTheme="majorEastAsia"/>
        </w:rPr>
        <w:t>the department’s</w:t>
      </w:r>
      <w:r w:rsidRPr="00923854">
        <w:rPr>
          <w:rFonts w:eastAsiaTheme="majorEastAsia"/>
        </w:rPr>
        <w:t xml:space="preserve"> contract funds to ensure sustainability and continuity of services.</w:t>
      </w:r>
    </w:p>
    <w:p w14:paraId="189F5486" w14:textId="77777777" w:rsidR="00923854" w:rsidRPr="00923854" w:rsidRDefault="00923854" w:rsidP="00923854">
      <w:pPr>
        <w:pStyle w:val="Heading3"/>
        <w:rPr>
          <w:bCs/>
        </w:rPr>
      </w:pPr>
      <w:r w:rsidRPr="00923854">
        <w:rPr>
          <w:bCs/>
        </w:rPr>
        <w:t>How will the state expect agencies to show that the match is specifically used to support the work of the PPPC grant? How would you expect to see those funds be directly applied to services?</w:t>
      </w:r>
    </w:p>
    <w:p w14:paraId="337A517A" w14:textId="43339AD7" w:rsidR="00923854" w:rsidRPr="00923854" w:rsidRDefault="00923854" w:rsidP="00923854">
      <w:pPr>
        <w:rPr>
          <w:rFonts w:eastAsiaTheme="majorEastAsia"/>
        </w:rPr>
      </w:pPr>
      <w:r w:rsidRPr="00923854">
        <w:rPr>
          <w:rFonts w:eastAsiaTheme="majorEastAsia"/>
        </w:rPr>
        <w:t xml:space="preserve">The 25% match requirement is intended to support the contract services outlined in this RFP. However, </w:t>
      </w:r>
      <w:r w:rsidR="00550945">
        <w:rPr>
          <w:rFonts w:eastAsiaTheme="majorEastAsia"/>
        </w:rPr>
        <w:t>R</w:t>
      </w:r>
      <w:r w:rsidRPr="00923854">
        <w:rPr>
          <w:rFonts w:eastAsiaTheme="majorEastAsia"/>
        </w:rPr>
        <w:t xml:space="preserve">esponders may propose a match plan that supports either the direct delivery of contract services or the broader operational capacity of the agency administering the program. Responders should describe how the 25% match will best support their organization’s overall operations, including managing typical fluctuations in </w:t>
      </w:r>
      <w:r w:rsidRPr="00923854">
        <w:rPr>
          <w:rFonts w:eastAsiaTheme="majorEastAsia"/>
        </w:rPr>
        <w:lastRenderedPageBreak/>
        <w:t xml:space="preserve">service delivery and corresponding variations in contract reimbursement throughout the fiscal year. Because this contract provides direct services to children, youth and families, it is essential that responders demonstrate ongoing organizational efforts to secure funding beyond </w:t>
      </w:r>
      <w:r w:rsidR="001D2C2F">
        <w:rPr>
          <w:rFonts w:eastAsiaTheme="majorEastAsia"/>
        </w:rPr>
        <w:t>the department’s</w:t>
      </w:r>
      <w:r w:rsidRPr="00923854">
        <w:rPr>
          <w:rFonts w:eastAsiaTheme="majorEastAsia"/>
        </w:rPr>
        <w:t xml:space="preserve"> contract funds to ensure sustainability and continuity of services.</w:t>
      </w:r>
    </w:p>
    <w:p w14:paraId="4432CDAF" w14:textId="49B792CA" w:rsidR="000717E1" w:rsidRPr="00CA1782" w:rsidRDefault="000717E1" w:rsidP="000717E1">
      <w:pPr>
        <w:pStyle w:val="Heading3"/>
      </w:pPr>
      <w:r w:rsidRPr="00CA1782">
        <w:t xml:space="preserve">What is the projected timeline </w:t>
      </w:r>
      <w:r w:rsidR="003E65E1" w:rsidRPr="00CA1782">
        <w:t>and</w:t>
      </w:r>
      <w:r w:rsidRPr="00CA1782">
        <w:t xml:space="preserve"> frequency of fundraising reviews?</w:t>
      </w:r>
    </w:p>
    <w:p w14:paraId="0B23B170" w14:textId="77777777" w:rsidR="00154028" w:rsidRPr="00CA1782" w:rsidRDefault="00154028" w:rsidP="00923854">
      <w:pPr>
        <w:pStyle w:val="Heading3"/>
        <w:rPr>
          <w:rFonts w:ascii="Calibri" w:eastAsia="Times New Roman" w:hAnsi="Calibri" w:cs="Times New Roman"/>
          <w:b w:val="0"/>
          <w:color w:val="auto"/>
          <w:sz w:val="22"/>
          <w:szCs w:val="22"/>
        </w:rPr>
      </w:pPr>
      <w:bookmarkStart w:id="9" w:name="_Hlk223350435"/>
      <w:r w:rsidRPr="00CA1782">
        <w:rPr>
          <w:rFonts w:ascii="Calibri" w:eastAsia="Times New Roman" w:hAnsi="Calibri" w:cs="Times New Roman"/>
          <w:b w:val="0"/>
          <w:color w:val="auto"/>
          <w:sz w:val="22"/>
          <w:szCs w:val="22"/>
        </w:rPr>
        <w:t>The RFP did not specify a timeline or frequency for fundraising reviews; however, updates would be incorporated into the reporting structure outlined in the RFP, specifically within the required quarterly reports.</w:t>
      </w:r>
    </w:p>
    <w:bookmarkEnd w:id="9"/>
    <w:p w14:paraId="2C7160C2" w14:textId="44589A20" w:rsidR="00154028" w:rsidRPr="00CA1782" w:rsidRDefault="00154028" w:rsidP="00154028">
      <w:pPr>
        <w:pStyle w:val="Heading3"/>
      </w:pPr>
      <w:r w:rsidRPr="00CA1782">
        <w:t>What level of detail in reporting will be required for the reports? Will reporting require individual gifts listed or simply fundraising category totals (i.e.</w:t>
      </w:r>
      <w:r w:rsidR="00212533" w:rsidRPr="00CA1782">
        <w:t>,</w:t>
      </w:r>
      <w:r w:rsidRPr="00CA1782">
        <w:t xml:space="preserve"> foundations, individual gifts, corporate, events)</w:t>
      </w:r>
    </w:p>
    <w:p w14:paraId="091958D4" w14:textId="113017EB" w:rsidR="00154028" w:rsidRPr="00CA1782" w:rsidRDefault="00154028" w:rsidP="00154028">
      <w:pPr>
        <w:rPr>
          <w:rFonts w:eastAsiaTheme="majorEastAsia"/>
        </w:rPr>
      </w:pPr>
      <w:bookmarkStart w:id="10" w:name="_Hlk223350456"/>
      <w:r w:rsidRPr="00CA1782">
        <w:rPr>
          <w:rFonts w:eastAsiaTheme="majorEastAsia"/>
        </w:rPr>
        <w:t>Responders</w:t>
      </w:r>
      <w:r w:rsidR="00212533" w:rsidRPr="00CA1782">
        <w:rPr>
          <w:rFonts w:eastAsiaTheme="majorEastAsia"/>
        </w:rPr>
        <w:t xml:space="preserve">’ </w:t>
      </w:r>
      <w:r w:rsidRPr="00CA1782">
        <w:rPr>
          <w:rFonts w:eastAsiaTheme="majorEastAsia"/>
        </w:rPr>
        <w:t>reporting</w:t>
      </w:r>
      <w:r w:rsidR="00212533" w:rsidRPr="00CA1782">
        <w:rPr>
          <w:rFonts w:eastAsiaTheme="majorEastAsia"/>
        </w:rPr>
        <w:t xml:space="preserve"> must</w:t>
      </w:r>
      <w:r w:rsidRPr="00CA1782">
        <w:rPr>
          <w:rFonts w:eastAsiaTheme="majorEastAsia"/>
        </w:rPr>
        <w:t xml:space="preserve"> ensure </w:t>
      </w:r>
      <w:r w:rsidR="00FF41A2" w:rsidRPr="00CA1782">
        <w:rPr>
          <w:rFonts w:eastAsiaTheme="majorEastAsia"/>
        </w:rPr>
        <w:t xml:space="preserve">that </w:t>
      </w:r>
      <w:r w:rsidR="001D2C2F" w:rsidRPr="00CA1782">
        <w:rPr>
          <w:rFonts w:eastAsiaTheme="majorEastAsia"/>
        </w:rPr>
        <w:t>department</w:t>
      </w:r>
      <w:r w:rsidR="00FF41A2" w:rsidRPr="00CA1782">
        <w:rPr>
          <w:rFonts w:eastAsiaTheme="majorEastAsia"/>
        </w:rPr>
        <w:t xml:space="preserve"> staff can assess whether the organization’s efforts to meet the match requirement are complete</w:t>
      </w:r>
      <w:r w:rsidRPr="00CA1782">
        <w:rPr>
          <w:rFonts w:eastAsiaTheme="majorEastAsia"/>
        </w:rPr>
        <w:t>. Specific reporting requirements may be further defined during contract negotiations with the selected responder(s).</w:t>
      </w:r>
    </w:p>
    <w:bookmarkEnd w:id="10"/>
    <w:p w14:paraId="332D93E0" w14:textId="5D4FD4EF" w:rsidR="00154028" w:rsidRPr="00CA1782" w:rsidRDefault="00154028" w:rsidP="00154028">
      <w:pPr>
        <w:pStyle w:val="Heading3"/>
      </w:pPr>
      <w:r w:rsidRPr="00CA1782">
        <w:t>If contract funding is adjusted due to lower</w:t>
      </w:r>
      <w:r w:rsidR="00FF41A2" w:rsidRPr="00CA1782">
        <w:t>-</w:t>
      </w:r>
      <w:r w:rsidRPr="00CA1782">
        <w:t>than</w:t>
      </w:r>
      <w:r w:rsidR="00FF41A2" w:rsidRPr="00CA1782">
        <w:t>-</w:t>
      </w:r>
      <w:r w:rsidRPr="00CA1782">
        <w:t>expected matching funds, will the adjustment be retroactive or only apply to remaining contract years?</w:t>
      </w:r>
    </w:p>
    <w:p w14:paraId="6C3E7579" w14:textId="73656742" w:rsidR="00154028" w:rsidRPr="00CA1782" w:rsidRDefault="00C2537F" w:rsidP="00154028">
      <w:bookmarkStart w:id="11" w:name="_Hlk223350483"/>
      <w:r w:rsidRPr="00CA1782">
        <w:t xml:space="preserve">The purpose of the match requirement is to ensure the sustainability and continuity of services. Because match funding is intended to support overall organizational operations, it should help organizations manage typical fluctuations in service delivery and corresponding variations in contract reimbursement throughout the fiscal year. To promote greater organizational stability, </w:t>
      </w:r>
      <w:r w:rsidR="001D2C2F" w:rsidRPr="00CA1782">
        <w:t>the department</w:t>
      </w:r>
      <w:r w:rsidRPr="00CA1782">
        <w:t xml:space="preserve"> does not intend for the match requirement to fluctuate based on changes in contract reimbursement amounts.</w:t>
      </w:r>
    </w:p>
    <w:bookmarkEnd w:id="11"/>
    <w:p w14:paraId="5071D7A9" w14:textId="77777777" w:rsidR="00C2537F" w:rsidRPr="00CA1782" w:rsidRDefault="00C2537F" w:rsidP="00C2537F">
      <w:pPr>
        <w:pStyle w:val="Heading3"/>
      </w:pPr>
      <w:r w:rsidRPr="00CA1782">
        <w:t>If a contract is adjusted down, what opportunities or processes are available to return to higher funding levels in later years if fundraising is increased?</w:t>
      </w:r>
    </w:p>
    <w:p w14:paraId="149C6F98" w14:textId="52D86DC8" w:rsidR="00C2537F" w:rsidRDefault="00C2537F" w:rsidP="00154028">
      <w:bookmarkStart w:id="12" w:name="_Hlk223350507"/>
      <w:r w:rsidRPr="00CA1782">
        <w:t xml:space="preserve">Successful responders may discuss contract utilization levels and projected services each fiscal year to determine whether contract adjustments are appropriate. Based on those discussions, there may be opportunities to increase contract funding, depending on various factors, including fiscal availability. To promote greater organizational stability, </w:t>
      </w:r>
      <w:r w:rsidR="001D2C2F" w:rsidRPr="00CA1782">
        <w:t>the department</w:t>
      </w:r>
      <w:r w:rsidRPr="00CA1782">
        <w:t xml:space="preserve"> does not intend for the match requirement to fluctuate in response to changes in contract reimbursement amounts.</w:t>
      </w:r>
    </w:p>
    <w:bookmarkEnd w:id="12"/>
    <w:p w14:paraId="7DFD7285" w14:textId="0B8504E4" w:rsidR="00923854" w:rsidRPr="00923854" w:rsidRDefault="00923854" w:rsidP="00923854">
      <w:pPr>
        <w:pStyle w:val="Heading3"/>
      </w:pPr>
      <w:r w:rsidRPr="00923854">
        <w:t>The RFP states that evaluation should be evidence-based. Is there a particular model that the state suggests for this, or is it more the review and analysis of actual data as the basis of the evidence?</w:t>
      </w:r>
    </w:p>
    <w:p w14:paraId="4C2F3FFF" w14:textId="77777777" w:rsidR="00923854" w:rsidRPr="00923854" w:rsidRDefault="00923854" w:rsidP="00923854">
      <w:r w:rsidRPr="00923854">
        <w:t>The RFP’s reference to “evidence-based” indicates that the responder should provide a review of actual data, including analysis. It is not required for the evaluation plan itself to be evidence-based.</w:t>
      </w:r>
    </w:p>
    <w:p w14:paraId="2CD3C14E" w14:textId="5DEDF91E" w:rsidR="00923854" w:rsidRPr="00923854" w:rsidRDefault="00923854" w:rsidP="00923854">
      <w:pPr>
        <w:pStyle w:val="Heading3"/>
      </w:pPr>
      <w:r w:rsidRPr="00923854">
        <w:lastRenderedPageBreak/>
        <w:t>To clarify</w:t>
      </w:r>
      <w:r w:rsidR="001E78D9">
        <w:t>:</w:t>
      </w:r>
      <w:r w:rsidRPr="00923854">
        <w:t xml:space="preserve"> </w:t>
      </w:r>
      <w:r w:rsidR="00A32126">
        <w:t>W</w:t>
      </w:r>
      <w:r w:rsidRPr="00923854">
        <w:t>ould the activity be evaluating services for just the responder or evaluating the services of all responders? </w:t>
      </w:r>
    </w:p>
    <w:p w14:paraId="6C7936CA" w14:textId="77777777" w:rsidR="00461D4C" w:rsidRPr="00461D4C" w:rsidRDefault="00461D4C" w:rsidP="00461D4C">
      <w:r w:rsidRPr="00461D4C">
        <w:t>For RFP Section 2.2, Task 17 – Evaluation Services, it is acceptable and sufficient for a responder to propose evaluation services solely for the services provided by their own organization.</w:t>
      </w:r>
    </w:p>
    <w:p w14:paraId="00162978" w14:textId="77777777" w:rsidR="006355D9" w:rsidRPr="006355D9" w:rsidRDefault="006355D9" w:rsidP="006355D9">
      <w:pPr>
        <w:pStyle w:val="Heading3"/>
      </w:pPr>
      <w:r w:rsidRPr="006355D9">
        <w:t>To clarify the calculation for the 25% match requirement: If an organization requests a specific grant amount, is the required match equal to an additional 25% of that requested award (making the total project budget 125% of the grant request)?</w:t>
      </w:r>
    </w:p>
    <w:p w14:paraId="6F629058" w14:textId="302CFDF4" w:rsidR="006355D9" w:rsidRDefault="006355D9" w:rsidP="006355D9">
      <w:r w:rsidRPr="006355D9">
        <w:t xml:space="preserve">The 25% match requirement is intended to support the contract services outlined in this RFP. However, responders may propose a match plan that supports either the direct delivery of contract services or the broader operational capacity of the </w:t>
      </w:r>
      <w:r w:rsidR="00320E5E">
        <w:t>program's administering agency</w:t>
      </w:r>
      <w:r w:rsidRPr="006355D9">
        <w:t xml:space="preserve">. A Responder could choose to have the 25% match increase the total proposal budget specific to the contract services, but it is not required. Responders should describe how the 25% match will best support their organization’s overall operations, including managing typical fluctuations in service delivery and corresponding variations in contract reimbursement throughout the fiscal year. Because this contract provides direct services to children, youth and families, it is essential that responders demonstrate ongoing organizational efforts to secure funding beyond </w:t>
      </w:r>
      <w:r w:rsidR="001D2C2F">
        <w:t>the department’s</w:t>
      </w:r>
      <w:r w:rsidRPr="006355D9">
        <w:t xml:space="preserve"> contract funds to ensure sustainability and continuity of services.</w:t>
      </w:r>
    </w:p>
    <w:p w14:paraId="6081C229" w14:textId="77777777" w:rsidR="006B48BB" w:rsidRPr="006B48BB" w:rsidRDefault="006B48BB" w:rsidP="006B48BB">
      <w:pPr>
        <w:pStyle w:val="Heading3"/>
      </w:pPr>
      <w:r w:rsidRPr="006B48BB">
        <w:t>Section</w:t>
      </w:r>
      <w:r w:rsidRPr="006B48BB">
        <w:rPr>
          <w:spacing w:val="-4"/>
        </w:rPr>
        <w:t xml:space="preserve"> </w:t>
      </w:r>
      <w:r w:rsidRPr="006B48BB">
        <w:t>1.4,</w:t>
      </w:r>
      <w:r w:rsidRPr="006B48BB">
        <w:rPr>
          <w:spacing w:val="-1"/>
        </w:rPr>
        <w:t xml:space="preserve"> </w:t>
      </w:r>
      <w:r w:rsidRPr="006B48BB">
        <w:t>Funding</w:t>
      </w:r>
      <w:r w:rsidRPr="006B48BB">
        <w:rPr>
          <w:spacing w:val="-2"/>
        </w:rPr>
        <w:t xml:space="preserve"> Availability</w:t>
      </w:r>
    </w:p>
    <w:p w14:paraId="6D028744" w14:textId="6AF322AD" w:rsidR="006B48BB" w:rsidRDefault="006B48BB" w:rsidP="006B48BB">
      <w:pPr>
        <w:pStyle w:val="Heading3"/>
      </w:pPr>
      <w:r>
        <w:t>In</w:t>
      </w:r>
      <w:r>
        <w:rPr>
          <w:spacing w:val="-3"/>
        </w:rPr>
        <w:t xml:space="preserve"> </w:t>
      </w:r>
      <w:r>
        <w:t>terms</w:t>
      </w:r>
      <w:r>
        <w:rPr>
          <w:spacing w:val="-5"/>
        </w:rPr>
        <w:t xml:space="preserve"> </w:t>
      </w:r>
      <w:r>
        <w:t>of</w:t>
      </w:r>
      <w:r>
        <w:rPr>
          <w:spacing w:val="-3"/>
        </w:rPr>
        <w:t xml:space="preserve"> </w:t>
      </w:r>
      <w:r>
        <w:t>contract</w:t>
      </w:r>
      <w:r>
        <w:rPr>
          <w:spacing w:val="-6"/>
        </w:rPr>
        <w:t xml:space="preserve"> </w:t>
      </w:r>
      <w:r>
        <w:t>matching,</w:t>
      </w:r>
      <w:r>
        <w:rPr>
          <w:spacing w:val="-4"/>
        </w:rPr>
        <w:t xml:space="preserve"> </w:t>
      </w:r>
      <w:r>
        <w:t>our</w:t>
      </w:r>
      <w:r>
        <w:rPr>
          <w:spacing w:val="-6"/>
        </w:rPr>
        <w:t xml:space="preserve"> </w:t>
      </w:r>
      <w:r>
        <w:t>understanding</w:t>
      </w:r>
      <w:r>
        <w:rPr>
          <w:spacing w:val="-6"/>
        </w:rPr>
        <w:t xml:space="preserve"> </w:t>
      </w:r>
      <w:r>
        <w:t>is</w:t>
      </w:r>
      <w:r>
        <w:rPr>
          <w:spacing w:val="-5"/>
        </w:rPr>
        <w:t xml:space="preserve"> </w:t>
      </w:r>
      <w:r>
        <w:t>that</w:t>
      </w:r>
      <w:r>
        <w:rPr>
          <w:spacing w:val="-6"/>
        </w:rPr>
        <w:t xml:space="preserve"> </w:t>
      </w:r>
      <w:r>
        <w:t>this</w:t>
      </w:r>
      <w:r>
        <w:rPr>
          <w:spacing w:val="-5"/>
        </w:rPr>
        <w:t xml:space="preserve"> </w:t>
      </w:r>
      <w:r>
        <w:t>applies</w:t>
      </w:r>
      <w:r>
        <w:rPr>
          <w:spacing w:val="-6"/>
        </w:rPr>
        <w:t xml:space="preserve"> </w:t>
      </w:r>
      <w:r>
        <w:t>to</w:t>
      </w:r>
      <w:r>
        <w:rPr>
          <w:spacing w:val="-6"/>
        </w:rPr>
        <w:t xml:space="preserve"> </w:t>
      </w:r>
      <w:r>
        <w:t>all</w:t>
      </w:r>
      <w:r>
        <w:rPr>
          <w:spacing w:val="-6"/>
        </w:rPr>
        <w:t xml:space="preserve"> </w:t>
      </w:r>
      <w:r>
        <w:t>funds</w:t>
      </w:r>
      <w:r>
        <w:rPr>
          <w:spacing w:val="-6"/>
        </w:rPr>
        <w:t xml:space="preserve"> </w:t>
      </w:r>
      <w:r>
        <w:t>we</w:t>
      </w:r>
      <w:r>
        <w:rPr>
          <w:spacing w:val="-6"/>
        </w:rPr>
        <w:t xml:space="preserve"> </w:t>
      </w:r>
      <w:r>
        <w:t>receive</w:t>
      </w:r>
      <w:r>
        <w:rPr>
          <w:spacing w:val="-4"/>
        </w:rPr>
        <w:t xml:space="preserve"> </w:t>
      </w:r>
      <w:r>
        <w:t>for</w:t>
      </w:r>
      <w:r>
        <w:rPr>
          <w:spacing w:val="-6"/>
        </w:rPr>
        <w:t xml:space="preserve"> </w:t>
      </w:r>
      <w:r>
        <w:t>PPPC services instead of just one (1) billable PPPC activity</w:t>
      </w:r>
      <w:r w:rsidR="00883C10">
        <w:t>,</w:t>
      </w:r>
      <w:r>
        <w:t xml:space="preserve"> as it was in the previous RFP season. Can you conﬁrm if this is correct?</w:t>
      </w:r>
    </w:p>
    <w:p w14:paraId="0D3D8D96" w14:textId="462160E7" w:rsidR="006B48BB" w:rsidRDefault="006B48BB" w:rsidP="006B48BB">
      <w:pPr>
        <w:spacing w:after="120"/>
        <w:rPr>
          <w:sz w:val="24"/>
          <w:szCs w:val="24"/>
        </w:rPr>
      </w:pPr>
      <w:r w:rsidRPr="006B48BB">
        <w:rPr>
          <w:sz w:val="24"/>
          <w:szCs w:val="24"/>
        </w:rPr>
        <w:t>That is correct. Section 1.4 of the RFP states that all responders must provide a 15% match to the funding awarded for PPPC services. Please note that an addendum to the RFP was issued on Monday, Feb</w:t>
      </w:r>
      <w:r w:rsidR="00855561">
        <w:rPr>
          <w:sz w:val="24"/>
          <w:szCs w:val="24"/>
        </w:rPr>
        <w:t>ruary</w:t>
      </w:r>
      <w:r w:rsidRPr="006B48BB">
        <w:rPr>
          <w:sz w:val="24"/>
          <w:szCs w:val="24"/>
        </w:rPr>
        <w:t xml:space="preserve"> 23, 2026, which modifies the fiscal match requirement.</w:t>
      </w:r>
    </w:p>
    <w:p w14:paraId="633A691C" w14:textId="77777777" w:rsidR="006B48BB" w:rsidRPr="006B48BB" w:rsidRDefault="006B48BB" w:rsidP="006B48BB">
      <w:pPr>
        <w:pStyle w:val="Heading3"/>
      </w:pPr>
      <w:r w:rsidRPr="006B48BB">
        <w:t>Section</w:t>
      </w:r>
      <w:r w:rsidRPr="006B48BB">
        <w:rPr>
          <w:spacing w:val="-4"/>
        </w:rPr>
        <w:t xml:space="preserve"> </w:t>
      </w:r>
      <w:r w:rsidRPr="006B48BB">
        <w:t>1.4,</w:t>
      </w:r>
      <w:r w:rsidRPr="006B48BB">
        <w:rPr>
          <w:spacing w:val="-1"/>
        </w:rPr>
        <w:t xml:space="preserve"> </w:t>
      </w:r>
      <w:r w:rsidRPr="006B48BB">
        <w:t>Funding</w:t>
      </w:r>
      <w:r w:rsidRPr="006B48BB">
        <w:rPr>
          <w:spacing w:val="-2"/>
        </w:rPr>
        <w:t xml:space="preserve"> Availability</w:t>
      </w:r>
    </w:p>
    <w:p w14:paraId="52DF4DB5" w14:textId="75F56A2D" w:rsidR="006B48BB" w:rsidRDefault="006B48BB" w:rsidP="006B48BB">
      <w:pPr>
        <w:pStyle w:val="Heading3"/>
      </w:pPr>
      <w:r>
        <w:t>Also</w:t>
      </w:r>
      <w:r w:rsidR="00883C10">
        <w:t>,</w:t>
      </w:r>
      <w:r>
        <w:rPr>
          <w:spacing w:val="-3"/>
        </w:rPr>
        <w:t xml:space="preserve"> </w:t>
      </w:r>
      <w:r>
        <w:t>regarding</w:t>
      </w:r>
      <w:r>
        <w:rPr>
          <w:spacing w:val="-4"/>
        </w:rPr>
        <w:t xml:space="preserve"> </w:t>
      </w:r>
      <w:r>
        <w:t>the</w:t>
      </w:r>
      <w:r>
        <w:rPr>
          <w:spacing w:val="-5"/>
        </w:rPr>
        <w:t xml:space="preserve"> </w:t>
      </w:r>
      <w:r>
        <w:t>25%</w:t>
      </w:r>
      <w:r>
        <w:rPr>
          <w:spacing w:val="-7"/>
        </w:rPr>
        <w:t xml:space="preserve"> </w:t>
      </w:r>
      <w:r>
        <w:t>match,</w:t>
      </w:r>
      <w:r>
        <w:rPr>
          <w:spacing w:val="-3"/>
        </w:rPr>
        <w:t xml:space="preserve"> </w:t>
      </w:r>
      <w:r>
        <w:t>can</w:t>
      </w:r>
      <w:r>
        <w:rPr>
          <w:spacing w:val="-2"/>
        </w:rPr>
        <w:t xml:space="preserve"> </w:t>
      </w:r>
      <w:r>
        <w:t>you</w:t>
      </w:r>
      <w:r>
        <w:rPr>
          <w:spacing w:val="-2"/>
        </w:rPr>
        <w:t xml:space="preserve"> </w:t>
      </w:r>
      <w:r>
        <w:t>help</w:t>
      </w:r>
      <w:r>
        <w:rPr>
          <w:spacing w:val="-5"/>
        </w:rPr>
        <w:t xml:space="preserve"> </w:t>
      </w:r>
      <w:r>
        <w:t>clarify</w:t>
      </w:r>
      <w:r>
        <w:rPr>
          <w:spacing w:val="-4"/>
        </w:rPr>
        <w:t xml:space="preserve"> </w:t>
      </w:r>
      <w:r>
        <w:t>the</w:t>
      </w:r>
      <w:r>
        <w:rPr>
          <w:spacing w:val="-3"/>
        </w:rPr>
        <w:t xml:space="preserve"> </w:t>
      </w:r>
      <w:r>
        <w:t>deﬁnition</w:t>
      </w:r>
      <w:r>
        <w:rPr>
          <w:spacing w:val="-5"/>
        </w:rPr>
        <w:t xml:space="preserve"> </w:t>
      </w:r>
      <w:r>
        <w:t>of</w:t>
      </w:r>
      <w:r>
        <w:rPr>
          <w:spacing w:val="-2"/>
        </w:rPr>
        <w:t xml:space="preserve"> </w:t>
      </w:r>
      <w:r>
        <w:t>what</w:t>
      </w:r>
      <w:r>
        <w:rPr>
          <w:spacing w:val="-7"/>
        </w:rPr>
        <w:t xml:space="preserve"> </w:t>
      </w:r>
      <w:r>
        <w:t>“in-kind”</w:t>
      </w:r>
      <w:r>
        <w:rPr>
          <w:spacing w:val="-5"/>
        </w:rPr>
        <w:t xml:space="preserve"> </w:t>
      </w:r>
      <w:r>
        <w:t>donations</w:t>
      </w:r>
      <w:r>
        <w:rPr>
          <w:spacing w:val="-6"/>
        </w:rPr>
        <w:t xml:space="preserve"> </w:t>
      </w:r>
      <w:r>
        <w:t>are?</w:t>
      </w:r>
      <w:r>
        <w:rPr>
          <w:spacing w:val="-7"/>
        </w:rPr>
        <w:t xml:space="preserve"> </w:t>
      </w:r>
      <w:r>
        <w:t>Does this include material goods, space, staﬀ volunteer time or paid staﬀ time to a related cause?</w:t>
      </w:r>
    </w:p>
    <w:p w14:paraId="5BB5003A" w14:textId="77777777" w:rsidR="006B48BB" w:rsidRDefault="006B48BB" w:rsidP="006B48BB">
      <w:pPr>
        <w:pStyle w:val="Heading3"/>
      </w:pPr>
      <w:r>
        <w:t>Additionally,</w:t>
      </w:r>
      <w:r>
        <w:rPr>
          <w:spacing w:val="-11"/>
        </w:rPr>
        <w:t xml:space="preserve"> </w:t>
      </w:r>
      <w:r>
        <w:t>if</w:t>
      </w:r>
      <w:r>
        <w:rPr>
          <w:spacing w:val="-10"/>
        </w:rPr>
        <w:t xml:space="preserve"> </w:t>
      </w:r>
      <w:r>
        <w:t>our</w:t>
      </w:r>
      <w:r>
        <w:rPr>
          <w:spacing w:val="-11"/>
        </w:rPr>
        <w:t xml:space="preserve"> </w:t>
      </w:r>
      <w:r>
        <w:t>expenses</w:t>
      </w:r>
      <w:r>
        <w:rPr>
          <w:spacing w:val="-9"/>
        </w:rPr>
        <w:t xml:space="preserve"> </w:t>
      </w:r>
      <w:r>
        <w:t>exceed</w:t>
      </w:r>
      <w:r>
        <w:rPr>
          <w:spacing w:val="-7"/>
        </w:rPr>
        <w:t xml:space="preserve"> </w:t>
      </w:r>
      <w:r>
        <w:t>contract</w:t>
      </w:r>
      <w:r>
        <w:rPr>
          <w:spacing w:val="-10"/>
        </w:rPr>
        <w:t xml:space="preserve"> </w:t>
      </w:r>
      <w:r>
        <w:t>funding</w:t>
      </w:r>
      <w:r>
        <w:rPr>
          <w:spacing w:val="-9"/>
        </w:rPr>
        <w:t xml:space="preserve"> </w:t>
      </w:r>
      <w:r>
        <w:t>and</w:t>
      </w:r>
      <w:r>
        <w:rPr>
          <w:spacing w:val="-7"/>
        </w:rPr>
        <w:t xml:space="preserve"> </w:t>
      </w:r>
      <w:r>
        <w:t>our</w:t>
      </w:r>
      <w:r>
        <w:rPr>
          <w:spacing w:val="-11"/>
        </w:rPr>
        <w:t xml:space="preserve"> </w:t>
      </w:r>
      <w:r>
        <w:t>organization</w:t>
      </w:r>
      <w:r>
        <w:rPr>
          <w:spacing w:val="-10"/>
        </w:rPr>
        <w:t xml:space="preserve"> </w:t>
      </w:r>
      <w:r>
        <w:t>covers</w:t>
      </w:r>
      <w:r>
        <w:rPr>
          <w:spacing w:val="-9"/>
        </w:rPr>
        <w:t xml:space="preserve"> </w:t>
      </w:r>
      <w:r>
        <w:t>that</w:t>
      </w:r>
      <w:r>
        <w:rPr>
          <w:spacing w:val="-10"/>
        </w:rPr>
        <w:t xml:space="preserve"> </w:t>
      </w:r>
      <w:r>
        <w:t>overage,</w:t>
      </w:r>
      <w:r>
        <w:rPr>
          <w:spacing w:val="-8"/>
        </w:rPr>
        <w:t xml:space="preserve"> </w:t>
      </w:r>
      <w:r>
        <w:t>does that count towards the expected 15% cash match?</w:t>
      </w:r>
    </w:p>
    <w:p w14:paraId="549ED088" w14:textId="16481CA1" w:rsidR="006B48BB" w:rsidRPr="006B48BB" w:rsidRDefault="001D2C2F" w:rsidP="006B48BB">
      <w:pPr>
        <w:rPr>
          <w:rFonts w:eastAsiaTheme="majorEastAsia"/>
          <w:sz w:val="24"/>
          <w:szCs w:val="24"/>
        </w:rPr>
      </w:pPr>
      <w:r>
        <w:rPr>
          <w:rFonts w:eastAsiaTheme="majorEastAsia"/>
          <w:sz w:val="24"/>
          <w:szCs w:val="24"/>
        </w:rPr>
        <w:t>The department</w:t>
      </w:r>
      <w:r w:rsidR="006B48BB" w:rsidRPr="006B48BB">
        <w:rPr>
          <w:rFonts w:eastAsiaTheme="majorEastAsia"/>
          <w:sz w:val="24"/>
          <w:szCs w:val="24"/>
        </w:rPr>
        <w:t xml:space="preserve"> will consider in-kind match contributions proposed by a </w:t>
      </w:r>
      <w:r w:rsidR="00397727">
        <w:rPr>
          <w:rFonts w:eastAsiaTheme="majorEastAsia"/>
          <w:sz w:val="24"/>
          <w:szCs w:val="24"/>
        </w:rPr>
        <w:t>R</w:t>
      </w:r>
      <w:r w:rsidR="006B48BB" w:rsidRPr="006B48BB">
        <w:rPr>
          <w:rFonts w:eastAsiaTheme="majorEastAsia"/>
          <w:sz w:val="24"/>
          <w:szCs w:val="24"/>
        </w:rPr>
        <w:t xml:space="preserve">esponder, provided they include sufficient justification. Adequate justification should explain how the in-kind support contributes </w:t>
      </w:r>
      <w:r w:rsidR="00397727">
        <w:rPr>
          <w:rFonts w:eastAsiaTheme="majorEastAsia"/>
          <w:sz w:val="24"/>
          <w:szCs w:val="24"/>
        </w:rPr>
        <w:t xml:space="preserve">to either the direct delivery of contract services or </w:t>
      </w:r>
      <w:r w:rsidR="006B48BB" w:rsidRPr="006B48BB">
        <w:rPr>
          <w:rFonts w:eastAsiaTheme="majorEastAsia"/>
          <w:sz w:val="24"/>
          <w:szCs w:val="24"/>
        </w:rPr>
        <w:t xml:space="preserve">the overall operational capacity of the </w:t>
      </w:r>
      <w:r w:rsidR="006B48BB" w:rsidRPr="006B48BB">
        <w:rPr>
          <w:rFonts w:eastAsiaTheme="majorEastAsia"/>
          <w:sz w:val="24"/>
          <w:szCs w:val="24"/>
        </w:rPr>
        <w:lastRenderedPageBreak/>
        <w:t>organization administering the program. Examples of in-kind match may include, but are not limited to, personnel and volunteer time, goods and supplies, office space and facilities, donated services or other forms of indirect support.</w:t>
      </w:r>
    </w:p>
    <w:p w14:paraId="46C42F32" w14:textId="0FA7D0DE" w:rsidR="006B48BB" w:rsidRPr="006B48BB" w:rsidRDefault="006B48BB" w:rsidP="006B48BB">
      <w:pPr>
        <w:rPr>
          <w:rFonts w:eastAsiaTheme="majorEastAsia"/>
          <w:sz w:val="24"/>
          <w:szCs w:val="24"/>
        </w:rPr>
      </w:pPr>
      <w:r w:rsidRPr="006B48BB">
        <w:rPr>
          <w:rFonts w:eastAsiaTheme="majorEastAsia"/>
          <w:sz w:val="24"/>
          <w:szCs w:val="24"/>
        </w:rPr>
        <w:t xml:space="preserve">Yes, if there was a contract budget overage and the Grantee covered those service costs, those expenses may be included </w:t>
      </w:r>
      <w:r w:rsidR="002B7A70">
        <w:rPr>
          <w:rFonts w:eastAsiaTheme="majorEastAsia"/>
          <w:sz w:val="24"/>
          <w:szCs w:val="24"/>
        </w:rPr>
        <w:t>in</w:t>
      </w:r>
      <w:r w:rsidRPr="006B48BB">
        <w:rPr>
          <w:rFonts w:eastAsiaTheme="majorEastAsia"/>
          <w:sz w:val="24"/>
          <w:szCs w:val="24"/>
        </w:rPr>
        <w:t xml:space="preserve"> the match plan. </w:t>
      </w:r>
      <w:r w:rsidRPr="006B48BB">
        <w:rPr>
          <w:sz w:val="24"/>
          <w:szCs w:val="24"/>
        </w:rPr>
        <w:t>Please note that an addendum to the RFP was issued on Monday, Feb</w:t>
      </w:r>
      <w:r w:rsidR="00855561">
        <w:rPr>
          <w:sz w:val="24"/>
          <w:szCs w:val="24"/>
        </w:rPr>
        <w:t>ruary</w:t>
      </w:r>
      <w:r w:rsidRPr="006B48BB">
        <w:rPr>
          <w:sz w:val="24"/>
          <w:szCs w:val="24"/>
        </w:rPr>
        <w:t xml:space="preserve"> 23, 2026, which modifies the fiscal match requirement.</w:t>
      </w:r>
    </w:p>
    <w:p w14:paraId="52858A53" w14:textId="77777777" w:rsidR="006B48BB" w:rsidRPr="006B48BB" w:rsidRDefault="006B48BB" w:rsidP="006B48BB">
      <w:pPr>
        <w:pStyle w:val="Heading3"/>
      </w:pPr>
      <w:r w:rsidRPr="006B48BB">
        <w:t>Section</w:t>
      </w:r>
      <w:r w:rsidRPr="006B48BB">
        <w:rPr>
          <w:spacing w:val="-4"/>
        </w:rPr>
        <w:t xml:space="preserve"> </w:t>
      </w:r>
      <w:r w:rsidRPr="006B48BB">
        <w:t>1.4,</w:t>
      </w:r>
      <w:r w:rsidRPr="006B48BB">
        <w:rPr>
          <w:spacing w:val="-1"/>
        </w:rPr>
        <w:t xml:space="preserve"> </w:t>
      </w:r>
      <w:r w:rsidRPr="006B48BB">
        <w:t>Funding</w:t>
      </w:r>
      <w:r w:rsidRPr="006B48BB">
        <w:rPr>
          <w:spacing w:val="-2"/>
        </w:rPr>
        <w:t xml:space="preserve"> Availability</w:t>
      </w:r>
    </w:p>
    <w:p w14:paraId="6818664B" w14:textId="1D188B30" w:rsidR="006B48BB" w:rsidRDefault="006B48BB" w:rsidP="006B48BB">
      <w:pPr>
        <w:pStyle w:val="Heading3"/>
      </w:pPr>
      <w:r>
        <w:t>Last</w:t>
      </w:r>
      <w:r>
        <w:rPr>
          <w:spacing w:val="-5"/>
        </w:rPr>
        <w:t xml:space="preserve"> </w:t>
      </w:r>
      <w:r>
        <w:t>question</w:t>
      </w:r>
      <w:r>
        <w:rPr>
          <w:spacing w:val="-5"/>
        </w:rPr>
        <w:t xml:space="preserve"> </w:t>
      </w:r>
      <w:r>
        <w:t>on</w:t>
      </w:r>
      <w:r>
        <w:rPr>
          <w:spacing w:val="-5"/>
        </w:rPr>
        <w:t xml:space="preserve"> </w:t>
      </w:r>
      <w:r>
        <w:t>the</w:t>
      </w:r>
      <w:r>
        <w:rPr>
          <w:spacing w:val="-5"/>
        </w:rPr>
        <w:t xml:space="preserve"> </w:t>
      </w:r>
      <w:r>
        <w:t>25%</w:t>
      </w:r>
      <w:r>
        <w:rPr>
          <w:spacing w:val="-5"/>
        </w:rPr>
        <w:t xml:space="preserve"> </w:t>
      </w:r>
      <w:r>
        <w:t>contract</w:t>
      </w:r>
      <w:r>
        <w:rPr>
          <w:spacing w:val="-5"/>
        </w:rPr>
        <w:t xml:space="preserve"> </w:t>
      </w:r>
      <w:r>
        <w:t>match</w:t>
      </w:r>
      <w:r w:rsidR="002B7A70">
        <w:t>:</w:t>
      </w:r>
      <w:r>
        <w:rPr>
          <w:spacing w:val="-3"/>
        </w:rPr>
        <w:t xml:space="preserve"> </w:t>
      </w:r>
      <w:r w:rsidR="002B7A70">
        <w:t>I</w:t>
      </w:r>
      <w:r>
        <w:t>s</w:t>
      </w:r>
      <w:r>
        <w:rPr>
          <w:spacing w:val="-4"/>
        </w:rPr>
        <w:t xml:space="preserve"> </w:t>
      </w:r>
      <w:r>
        <w:t>the</w:t>
      </w:r>
      <w:r>
        <w:rPr>
          <w:spacing w:val="-3"/>
        </w:rPr>
        <w:t xml:space="preserve"> </w:t>
      </w:r>
      <w:r>
        <w:t>expectation</w:t>
      </w:r>
      <w:r>
        <w:rPr>
          <w:spacing w:val="-5"/>
        </w:rPr>
        <w:t xml:space="preserve"> </w:t>
      </w:r>
      <w:r>
        <w:t>that</w:t>
      </w:r>
      <w:r>
        <w:rPr>
          <w:spacing w:val="-5"/>
        </w:rPr>
        <w:t xml:space="preserve"> </w:t>
      </w:r>
      <w:r>
        <w:t>we</w:t>
      </w:r>
      <w:r>
        <w:rPr>
          <w:spacing w:val="-3"/>
        </w:rPr>
        <w:t xml:space="preserve"> </w:t>
      </w:r>
      <w:r>
        <w:t>will</w:t>
      </w:r>
      <w:r>
        <w:rPr>
          <w:spacing w:val="-6"/>
        </w:rPr>
        <w:t xml:space="preserve"> </w:t>
      </w:r>
      <w:r>
        <w:t>be</w:t>
      </w:r>
      <w:r>
        <w:rPr>
          <w:spacing w:val="-5"/>
        </w:rPr>
        <w:t xml:space="preserve"> </w:t>
      </w:r>
      <w:r>
        <w:t>paying</w:t>
      </w:r>
      <w:r>
        <w:rPr>
          <w:spacing w:val="-4"/>
        </w:rPr>
        <w:t xml:space="preserve"> </w:t>
      </w:r>
      <w:r>
        <w:t>this</w:t>
      </w:r>
      <w:r>
        <w:rPr>
          <w:spacing w:val="-6"/>
        </w:rPr>
        <w:t xml:space="preserve"> </w:t>
      </w:r>
      <w:r>
        <w:t>back</w:t>
      </w:r>
      <w:r>
        <w:rPr>
          <w:spacing w:val="-5"/>
        </w:rPr>
        <w:t xml:space="preserve"> </w:t>
      </w:r>
      <w:r>
        <w:t>at</w:t>
      </w:r>
      <w:r>
        <w:rPr>
          <w:spacing w:val="-5"/>
        </w:rPr>
        <w:t xml:space="preserve"> </w:t>
      </w:r>
      <w:r>
        <w:t>the</w:t>
      </w:r>
      <w:r>
        <w:rPr>
          <w:spacing w:val="-5"/>
        </w:rPr>
        <w:t xml:space="preserve"> </w:t>
      </w:r>
      <w:r>
        <w:t>end of each State Fiscal Year</w:t>
      </w:r>
      <w:r w:rsidR="002B7A70">
        <w:t>,</w:t>
      </w:r>
      <w:r>
        <w:t xml:space="preserve"> or is the expectation that we will be able to demonstrate a total 25% (15% cash, 10% in-kind) match through other funding streams?</w:t>
      </w:r>
    </w:p>
    <w:p w14:paraId="40B6604F" w14:textId="6ABF6E34" w:rsidR="006B48BB" w:rsidRPr="006B48BB" w:rsidRDefault="006B48BB" w:rsidP="006B48BB">
      <w:pPr>
        <w:pStyle w:val="BodyText"/>
        <w:spacing w:before="45" w:line="278" w:lineRule="auto"/>
        <w:ind w:left="0" w:right="155"/>
      </w:pPr>
      <w:r w:rsidRPr="006B48BB">
        <w:t>There will be no expectation that the Grantee</w:t>
      </w:r>
      <w:r w:rsidR="008046F8">
        <w:t xml:space="preserve"> will</w:t>
      </w:r>
      <w:r w:rsidRPr="006B48BB">
        <w:t xml:space="preserve"> remit this funding match to </w:t>
      </w:r>
      <w:r w:rsidR="001D2C2F">
        <w:t>the department</w:t>
      </w:r>
      <w:r w:rsidRPr="006B48BB">
        <w:t xml:space="preserve">. </w:t>
      </w:r>
      <w:r w:rsidRPr="006B48BB">
        <w:rPr>
          <w:rFonts w:eastAsiaTheme="majorEastAsia"/>
        </w:rPr>
        <w:t xml:space="preserve">The 15% match requirement is intended to support the contract services outlined in this RFP. However, responders may propose a match plan that supports either the direct delivery of contract services or the broader operational capacity of the </w:t>
      </w:r>
      <w:r w:rsidR="008046F8">
        <w:rPr>
          <w:rFonts w:eastAsiaTheme="majorEastAsia"/>
        </w:rPr>
        <w:t>program's administering agency</w:t>
      </w:r>
      <w:r w:rsidRPr="006B48BB">
        <w:rPr>
          <w:rFonts w:eastAsiaTheme="majorEastAsia"/>
        </w:rPr>
        <w:t xml:space="preserve">. Because this contract provides direct services to children, youth and families, it is essential that responders demonstrate ongoing organizational efforts to secure funding beyond </w:t>
      </w:r>
      <w:r w:rsidR="001D2C2F">
        <w:rPr>
          <w:rFonts w:eastAsiaTheme="majorEastAsia"/>
        </w:rPr>
        <w:t>the department’s</w:t>
      </w:r>
      <w:r w:rsidRPr="006B48BB">
        <w:rPr>
          <w:rFonts w:eastAsiaTheme="majorEastAsia"/>
        </w:rPr>
        <w:t xml:space="preserve"> contract funds to ensure sustainability and continuity of services.</w:t>
      </w:r>
      <w:r w:rsidRPr="006B48BB">
        <w:t xml:space="preserve"> Please note that an addendum to the RFP was issued on Monday, Feb</w:t>
      </w:r>
      <w:r w:rsidR="00855561">
        <w:t>ruary</w:t>
      </w:r>
      <w:r w:rsidRPr="006B48BB">
        <w:t xml:space="preserve"> 23, 2026, which modifies the fiscal match requirement.</w:t>
      </w:r>
    </w:p>
    <w:p w14:paraId="3AF475D6" w14:textId="793711B0" w:rsidR="00BD06AA" w:rsidRPr="00CA1782" w:rsidRDefault="00BD06AA" w:rsidP="00BD06AA">
      <w:pPr>
        <w:pStyle w:val="Heading3"/>
      </w:pPr>
      <w:r w:rsidRPr="00CA1782">
        <w:t>I was wondering where I could find the link for the Responders Meeting this afternoon</w:t>
      </w:r>
      <w:r w:rsidR="008046F8" w:rsidRPr="00CA1782">
        <w:t>?</w:t>
      </w:r>
      <w:r w:rsidRPr="00CA1782">
        <w:t> </w:t>
      </w:r>
    </w:p>
    <w:p w14:paraId="36804742" w14:textId="57013210" w:rsidR="00923854" w:rsidRPr="00CA1782" w:rsidRDefault="00BD06AA" w:rsidP="00923854">
      <w:r w:rsidRPr="00CA1782">
        <w:t xml:space="preserve">The RFP states in section 4.1 that questions will be addressed in writing and distributed to all identified prospective Responders. Every attempt will be made to provide answers </w:t>
      </w:r>
      <w:r w:rsidR="007F342F" w:rsidRPr="00CA1782">
        <w:t>in a timely manner, within two business days of receiving the question,</w:t>
      </w:r>
      <w:r w:rsidRPr="00CA1782">
        <w:t xml:space="preserve"> no later than Monday, March 2, 2026. There is </w:t>
      </w:r>
      <w:r w:rsidR="007F342F" w:rsidRPr="00CA1782">
        <w:t>no</w:t>
      </w:r>
      <w:r w:rsidRPr="00CA1782">
        <w:t xml:space="preserve"> </w:t>
      </w:r>
      <w:r w:rsidR="007F342F" w:rsidRPr="00CA1782">
        <w:t>R</w:t>
      </w:r>
      <w:r w:rsidRPr="00CA1782">
        <w:t>esponder’s conference being held, but questions and answers will be posted publicly for review.</w:t>
      </w:r>
    </w:p>
    <w:p w14:paraId="005A76D3" w14:textId="792E8ADE" w:rsidR="00BD06AA" w:rsidRPr="00CA1782" w:rsidRDefault="00BD06AA" w:rsidP="00BD06AA">
      <w:pPr>
        <w:pStyle w:val="Heading3"/>
      </w:pPr>
      <w:r w:rsidRPr="00CA1782">
        <w:t xml:space="preserve">How will the selection deadline </w:t>
      </w:r>
      <w:r w:rsidR="00855561" w:rsidRPr="00CA1782">
        <w:t>for</w:t>
      </w:r>
      <w:r w:rsidRPr="00CA1782">
        <w:t xml:space="preserve"> July 1 </w:t>
      </w:r>
      <w:r w:rsidR="007F342F" w:rsidRPr="00CA1782">
        <w:t>affect</w:t>
      </w:r>
      <w:r w:rsidRPr="00CA1782">
        <w:t xml:space="preserve"> contract start and end dates and contract implementation? Will having selection </w:t>
      </w:r>
      <w:r w:rsidR="007F342F" w:rsidRPr="00CA1782">
        <w:t xml:space="preserve">on </w:t>
      </w:r>
      <w:r w:rsidRPr="00CA1782">
        <w:t>July 1 cause a gap in contracted services and reimbursements under this contract for any time period?</w:t>
      </w:r>
    </w:p>
    <w:p w14:paraId="06C9C8F2" w14:textId="501BEF65" w:rsidR="00BD06AA" w:rsidRDefault="000717E1" w:rsidP="00BD06AA">
      <w:bookmarkStart w:id="13" w:name="_Hlk223350356"/>
      <w:r w:rsidRPr="00CA1782">
        <w:t xml:space="preserve">The RFP indicates that the successful Responder(s), if any, will be selected on or about Wednesday, July 1, 2026, following the Proposal submission deadline. However, </w:t>
      </w:r>
      <w:r w:rsidR="001D2C2F" w:rsidRPr="00CA1782">
        <w:t>the department</w:t>
      </w:r>
      <w:r w:rsidRPr="00CA1782">
        <w:t xml:space="preserve"> intends to select the successful Responder(s), if any, prior to July 1, 2026, to ensure a timely start of contract services and prevent any gap in </w:t>
      </w:r>
      <w:r w:rsidR="00855561" w:rsidRPr="00CA1782">
        <w:t>delivery service</w:t>
      </w:r>
      <w:r w:rsidRPr="00CA1782">
        <w:t>.</w:t>
      </w:r>
    </w:p>
    <w:bookmarkEnd w:id="13"/>
    <w:p w14:paraId="785C7208" w14:textId="5AC90F7C" w:rsidR="00BD06AA" w:rsidRPr="00923854" w:rsidRDefault="006C3FFC" w:rsidP="00923854">
      <w:r>
        <w:t>`</w:t>
      </w:r>
    </w:p>
    <w:sectPr w:rsidR="00BD06AA" w:rsidRPr="00923854" w:rsidSect="00B921B3">
      <w:headerReference w:type="default" r:id="rId13"/>
      <w:footerReference w:type="default" r:id="rId14"/>
      <w:footerReference w:type="first" r:id="rId15"/>
      <w:type w:val="continuous"/>
      <w:pgSz w:w="12240" w:h="15840" w:code="1"/>
      <w:pgMar w:top="1440" w:right="1080" w:bottom="1440" w:left="1080" w:header="432"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F592B" w14:textId="77777777" w:rsidR="00FD5CD2" w:rsidRDefault="00FD5CD2" w:rsidP="00D91FF4">
      <w:r>
        <w:separator/>
      </w:r>
    </w:p>
  </w:endnote>
  <w:endnote w:type="continuationSeparator" w:id="0">
    <w:p w14:paraId="2C212956" w14:textId="77777777" w:rsidR="00FD5CD2" w:rsidRDefault="00FD5CD2" w:rsidP="00D91FF4">
      <w:r>
        <w:continuationSeparator/>
      </w:r>
    </w:p>
  </w:endnote>
  <w:endnote w:type="continuationNotice" w:id="1">
    <w:p w14:paraId="79B5401D" w14:textId="77777777" w:rsidR="00FD5CD2" w:rsidRDefault="00FD5CD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FBB8" w14:textId="07BFBD33" w:rsidR="007857F7" w:rsidRDefault="00855561">
    <w:pPr>
      <w:pStyle w:val="Footer"/>
    </w:pPr>
    <w:sdt>
      <w:sdtPr>
        <w:alias w:val="Title"/>
        <w:tag w:val=""/>
        <w:id w:val="-842547074"/>
        <w:dataBinding w:prefixMappings="xmlns:ns0='http://purl.org/dc/elements/1.1/' xmlns:ns1='http://schemas.openxmlformats.org/package/2006/metadata/core-properties' " w:xpath="/ns1:coreProperties[1]/ns0:title[1]" w:storeItemID="{6C3C8BC8-F283-45AE-878A-BAB7291924A1}"/>
        <w:text/>
      </w:sdtPr>
      <w:sdtEndPr/>
      <w:sdtContent>
        <w:r w:rsidR="00162CC7">
          <w:t>Permanency Services RFP</w:t>
        </w:r>
        <w:r w:rsidR="00F55100" w:rsidRPr="00F55100">
          <w:t xml:space="preserve"> Questions and Answers</w:t>
        </w:r>
      </w:sdtContent>
    </w:sdt>
    <w:r w:rsidR="007857F7" w:rsidRPr="00AF5107">
      <w:tab/>
    </w:r>
    <w:r w:rsidR="007857F7" w:rsidRPr="00AF5107">
      <w:fldChar w:fldCharType="begin"/>
    </w:r>
    <w:r w:rsidR="007857F7" w:rsidRPr="00AF5107">
      <w:instrText xml:space="preserve"> PAGE   \* MERGEFORMAT </w:instrText>
    </w:r>
    <w:r w:rsidR="007857F7" w:rsidRPr="00AF5107">
      <w:fldChar w:fldCharType="separate"/>
    </w:r>
    <w:r w:rsidR="002A362A">
      <w:rPr>
        <w:noProof/>
      </w:rPr>
      <w:t>1</w:t>
    </w:r>
    <w:r w:rsidR="007857F7"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0E9C"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65294" w14:textId="77777777" w:rsidR="00FD5CD2" w:rsidRDefault="00FD5CD2" w:rsidP="00D91FF4">
      <w:r>
        <w:separator/>
      </w:r>
    </w:p>
  </w:footnote>
  <w:footnote w:type="continuationSeparator" w:id="0">
    <w:p w14:paraId="3B04BDD7" w14:textId="77777777" w:rsidR="00FD5CD2" w:rsidRDefault="00FD5CD2" w:rsidP="00D91FF4">
      <w:r>
        <w:continuationSeparator/>
      </w:r>
    </w:p>
  </w:footnote>
  <w:footnote w:type="continuationNotice" w:id="1">
    <w:p w14:paraId="021021D8" w14:textId="77777777" w:rsidR="00FD5CD2" w:rsidRDefault="00FD5CD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3492" w14:textId="1DE0BB09" w:rsidR="00E02125" w:rsidRDefault="00B921B3">
    <w:pPr>
      <w:pStyle w:val="Header"/>
    </w:pPr>
    <w:r>
      <w:rPr>
        <w:noProof/>
      </w:rPr>
      <w:drawing>
        <wp:inline distT="0" distB="0" distL="0" distR="0" wp14:anchorId="51740569" wp14:editId="6B006F60">
          <wp:extent cx="3480435" cy="600075"/>
          <wp:effectExtent l="0" t="0" r="5715" b="0"/>
          <wp:docPr id="3" name="Graphic 3" descr="Department of Children, Youth, and Famil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Department of Children, Youth, and Families logo"/>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480435" cy="600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pt;height:24.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4D9CDE2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837312"/>
    <w:multiLevelType w:val="hybridMultilevel"/>
    <w:tmpl w:val="84F8ABAE"/>
    <w:lvl w:ilvl="0" w:tplc="DF520862">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FF6C87E2">
      <w:numFmt w:val="bullet"/>
      <w:lvlText w:val="•"/>
      <w:lvlJc w:val="left"/>
      <w:pPr>
        <w:ind w:left="1840" w:hanging="360"/>
      </w:pPr>
      <w:rPr>
        <w:rFonts w:hint="default"/>
        <w:lang w:val="en-US" w:eastAsia="en-US" w:bidi="ar-SA"/>
      </w:rPr>
    </w:lvl>
    <w:lvl w:ilvl="2" w:tplc="7FD0E1DE">
      <w:numFmt w:val="bullet"/>
      <w:lvlText w:val="•"/>
      <w:lvlJc w:val="left"/>
      <w:pPr>
        <w:ind w:left="2860" w:hanging="360"/>
      </w:pPr>
      <w:rPr>
        <w:rFonts w:hint="default"/>
        <w:lang w:val="en-US" w:eastAsia="en-US" w:bidi="ar-SA"/>
      </w:rPr>
    </w:lvl>
    <w:lvl w:ilvl="3" w:tplc="9FEE0500">
      <w:numFmt w:val="bullet"/>
      <w:lvlText w:val="•"/>
      <w:lvlJc w:val="left"/>
      <w:pPr>
        <w:ind w:left="3880" w:hanging="360"/>
      </w:pPr>
      <w:rPr>
        <w:rFonts w:hint="default"/>
        <w:lang w:val="en-US" w:eastAsia="en-US" w:bidi="ar-SA"/>
      </w:rPr>
    </w:lvl>
    <w:lvl w:ilvl="4" w:tplc="2F460766">
      <w:numFmt w:val="bullet"/>
      <w:lvlText w:val="•"/>
      <w:lvlJc w:val="left"/>
      <w:pPr>
        <w:ind w:left="4900" w:hanging="360"/>
      </w:pPr>
      <w:rPr>
        <w:rFonts w:hint="default"/>
        <w:lang w:val="en-US" w:eastAsia="en-US" w:bidi="ar-SA"/>
      </w:rPr>
    </w:lvl>
    <w:lvl w:ilvl="5" w:tplc="2D80E18A">
      <w:numFmt w:val="bullet"/>
      <w:lvlText w:val="•"/>
      <w:lvlJc w:val="left"/>
      <w:pPr>
        <w:ind w:left="5920" w:hanging="360"/>
      </w:pPr>
      <w:rPr>
        <w:rFonts w:hint="default"/>
        <w:lang w:val="en-US" w:eastAsia="en-US" w:bidi="ar-SA"/>
      </w:rPr>
    </w:lvl>
    <w:lvl w:ilvl="6" w:tplc="F992F93C">
      <w:numFmt w:val="bullet"/>
      <w:lvlText w:val="•"/>
      <w:lvlJc w:val="left"/>
      <w:pPr>
        <w:ind w:left="6940" w:hanging="360"/>
      </w:pPr>
      <w:rPr>
        <w:rFonts w:hint="default"/>
        <w:lang w:val="en-US" w:eastAsia="en-US" w:bidi="ar-SA"/>
      </w:rPr>
    </w:lvl>
    <w:lvl w:ilvl="7" w:tplc="354873A0">
      <w:numFmt w:val="bullet"/>
      <w:lvlText w:val="•"/>
      <w:lvlJc w:val="left"/>
      <w:pPr>
        <w:ind w:left="7960" w:hanging="360"/>
      </w:pPr>
      <w:rPr>
        <w:rFonts w:hint="default"/>
        <w:lang w:val="en-US" w:eastAsia="en-US" w:bidi="ar-SA"/>
      </w:rPr>
    </w:lvl>
    <w:lvl w:ilvl="8" w:tplc="22FA116C">
      <w:numFmt w:val="bullet"/>
      <w:lvlText w:val="•"/>
      <w:lvlJc w:val="left"/>
      <w:pPr>
        <w:ind w:left="8980" w:hanging="360"/>
      </w:pPr>
      <w:rPr>
        <w:rFonts w:hint="default"/>
        <w:lang w:val="en-US" w:eastAsia="en-US" w:bidi="ar-SA"/>
      </w:rPr>
    </w:lvl>
  </w:abstractNum>
  <w:abstractNum w:abstractNumId="11"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AF7E87"/>
    <w:multiLevelType w:val="hybridMultilevel"/>
    <w:tmpl w:val="38CC5FCE"/>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3A29A1"/>
    <w:multiLevelType w:val="hybridMultilevel"/>
    <w:tmpl w:val="B336A8F4"/>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CF2C8D"/>
    <w:multiLevelType w:val="multilevel"/>
    <w:tmpl w:val="E79270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90448149">
    <w:abstractNumId w:val="3"/>
  </w:num>
  <w:num w:numId="2" w16cid:durableId="577137618">
    <w:abstractNumId w:val="6"/>
  </w:num>
  <w:num w:numId="3" w16cid:durableId="391465498">
    <w:abstractNumId w:val="22"/>
  </w:num>
  <w:num w:numId="4" w16cid:durableId="1725444933">
    <w:abstractNumId w:val="17"/>
  </w:num>
  <w:num w:numId="5" w16cid:durableId="926302923">
    <w:abstractNumId w:val="15"/>
  </w:num>
  <w:num w:numId="6" w16cid:durableId="49041009">
    <w:abstractNumId w:val="4"/>
  </w:num>
  <w:num w:numId="7" w16cid:durableId="696194252">
    <w:abstractNumId w:val="13"/>
  </w:num>
  <w:num w:numId="8" w16cid:durableId="75518526">
    <w:abstractNumId w:val="7"/>
  </w:num>
  <w:num w:numId="9" w16cid:durableId="12348168">
    <w:abstractNumId w:val="11"/>
  </w:num>
  <w:num w:numId="10" w16cid:durableId="1550528341">
    <w:abstractNumId w:val="2"/>
  </w:num>
  <w:num w:numId="11" w16cid:durableId="1246305366">
    <w:abstractNumId w:val="2"/>
  </w:num>
  <w:num w:numId="12" w16cid:durableId="1351296144">
    <w:abstractNumId w:val="23"/>
  </w:num>
  <w:num w:numId="13" w16cid:durableId="338041782">
    <w:abstractNumId w:val="24"/>
  </w:num>
  <w:num w:numId="14" w16cid:durableId="1558396611">
    <w:abstractNumId w:val="14"/>
  </w:num>
  <w:num w:numId="15" w16cid:durableId="983704960">
    <w:abstractNumId w:val="2"/>
  </w:num>
  <w:num w:numId="16" w16cid:durableId="1564171434">
    <w:abstractNumId w:val="24"/>
  </w:num>
  <w:num w:numId="17" w16cid:durableId="1739669241">
    <w:abstractNumId w:val="14"/>
  </w:num>
  <w:num w:numId="18" w16cid:durableId="799348176">
    <w:abstractNumId w:val="9"/>
  </w:num>
  <w:num w:numId="19" w16cid:durableId="1190726277">
    <w:abstractNumId w:val="5"/>
  </w:num>
  <w:num w:numId="20" w16cid:durableId="356854154">
    <w:abstractNumId w:val="1"/>
  </w:num>
  <w:num w:numId="21" w16cid:durableId="1369723801">
    <w:abstractNumId w:val="0"/>
  </w:num>
  <w:num w:numId="22" w16cid:durableId="1069186129">
    <w:abstractNumId w:val="8"/>
  </w:num>
  <w:num w:numId="23" w16cid:durableId="482308482">
    <w:abstractNumId w:val="16"/>
  </w:num>
  <w:num w:numId="24" w16cid:durableId="481428891">
    <w:abstractNumId w:val="18"/>
  </w:num>
  <w:num w:numId="25" w16cid:durableId="1113403714">
    <w:abstractNumId w:val="18"/>
  </w:num>
  <w:num w:numId="26" w16cid:durableId="1594319116">
    <w:abstractNumId w:val="20"/>
  </w:num>
  <w:num w:numId="27" w16cid:durableId="1038747537">
    <w:abstractNumId w:val="12"/>
  </w:num>
  <w:num w:numId="28" w16cid:durableId="1608199336">
    <w:abstractNumId w:val="19"/>
    <w:lvlOverride w:ilvl="0"/>
    <w:lvlOverride w:ilvl="1">
      <w:startOverride w:val="1"/>
    </w:lvlOverride>
    <w:lvlOverride w:ilvl="2"/>
    <w:lvlOverride w:ilvl="3"/>
    <w:lvlOverride w:ilvl="4"/>
    <w:lvlOverride w:ilvl="5"/>
    <w:lvlOverride w:ilvl="6"/>
    <w:lvlOverride w:ilvl="7"/>
    <w:lvlOverride w:ilvl="8"/>
  </w:num>
  <w:num w:numId="29" w16cid:durableId="1958875199">
    <w:abstractNumId w:val="21"/>
    <w:lvlOverride w:ilvl="0">
      <w:startOverride w:val="1"/>
    </w:lvlOverride>
    <w:lvlOverride w:ilvl="1"/>
    <w:lvlOverride w:ilvl="2"/>
    <w:lvlOverride w:ilvl="3"/>
    <w:lvlOverride w:ilvl="4"/>
    <w:lvlOverride w:ilvl="5"/>
    <w:lvlOverride w:ilvl="6"/>
    <w:lvlOverride w:ilvl="7"/>
    <w:lvlOverride w:ilvl="8"/>
  </w:num>
  <w:num w:numId="30" w16cid:durableId="2123450764">
    <w:abstractNumId w:val="10"/>
  </w:num>
  <w:num w:numId="31" w16cid:durableId="16825066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096466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429186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798759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153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xNjIwMzczMTA0tzBW0lEKTi0uzszPAykwrAUAh1po5iwAAAA="/>
  </w:docVars>
  <w:rsids>
    <w:rsidRoot w:val="00F01E24"/>
    <w:rsid w:val="00002A4C"/>
    <w:rsid w:val="00002DEC"/>
    <w:rsid w:val="000065AC"/>
    <w:rsid w:val="00006A0A"/>
    <w:rsid w:val="00016C9F"/>
    <w:rsid w:val="00021F9D"/>
    <w:rsid w:val="000276A0"/>
    <w:rsid w:val="0003610E"/>
    <w:rsid w:val="00040C79"/>
    <w:rsid w:val="0004656D"/>
    <w:rsid w:val="00047562"/>
    <w:rsid w:val="00063E33"/>
    <w:rsid w:val="00064B90"/>
    <w:rsid w:val="000717E1"/>
    <w:rsid w:val="000722DA"/>
    <w:rsid w:val="0007374A"/>
    <w:rsid w:val="00077A06"/>
    <w:rsid w:val="00080404"/>
    <w:rsid w:val="00084742"/>
    <w:rsid w:val="000953C6"/>
    <w:rsid w:val="00095C62"/>
    <w:rsid w:val="000B0A75"/>
    <w:rsid w:val="000B2E68"/>
    <w:rsid w:val="000B6DFF"/>
    <w:rsid w:val="000C3708"/>
    <w:rsid w:val="000C3761"/>
    <w:rsid w:val="000C7373"/>
    <w:rsid w:val="000E313B"/>
    <w:rsid w:val="000E3654"/>
    <w:rsid w:val="000E3E9D"/>
    <w:rsid w:val="000F1838"/>
    <w:rsid w:val="000F4BB1"/>
    <w:rsid w:val="000F6515"/>
    <w:rsid w:val="000F7644"/>
    <w:rsid w:val="001075BE"/>
    <w:rsid w:val="00135082"/>
    <w:rsid w:val="00135DC7"/>
    <w:rsid w:val="00140E8A"/>
    <w:rsid w:val="00147ED1"/>
    <w:rsid w:val="001500D6"/>
    <w:rsid w:val="0015332A"/>
    <w:rsid w:val="00153EB9"/>
    <w:rsid w:val="00154028"/>
    <w:rsid w:val="001559DF"/>
    <w:rsid w:val="00157C41"/>
    <w:rsid w:val="00162CC7"/>
    <w:rsid w:val="0016451B"/>
    <w:rsid w:val="0016602A"/>
    <w:rsid w:val="001661D9"/>
    <w:rsid w:val="001708EC"/>
    <w:rsid w:val="00183EAA"/>
    <w:rsid w:val="001925A8"/>
    <w:rsid w:val="00192DB7"/>
    <w:rsid w:val="00194A1B"/>
    <w:rsid w:val="00194E3E"/>
    <w:rsid w:val="0019673D"/>
    <w:rsid w:val="00197518"/>
    <w:rsid w:val="00197F44"/>
    <w:rsid w:val="001A46BB"/>
    <w:rsid w:val="001B1B68"/>
    <w:rsid w:val="001B246F"/>
    <w:rsid w:val="001B2E68"/>
    <w:rsid w:val="001B6FD0"/>
    <w:rsid w:val="001B7D48"/>
    <w:rsid w:val="001C3208"/>
    <w:rsid w:val="001C55E0"/>
    <w:rsid w:val="001D2C2F"/>
    <w:rsid w:val="001E08A5"/>
    <w:rsid w:val="001E3223"/>
    <w:rsid w:val="001E5573"/>
    <w:rsid w:val="001E5ECF"/>
    <w:rsid w:val="001E78D9"/>
    <w:rsid w:val="001F0150"/>
    <w:rsid w:val="0020342E"/>
    <w:rsid w:val="00211CA3"/>
    <w:rsid w:val="00212533"/>
    <w:rsid w:val="00212CA0"/>
    <w:rsid w:val="00221EFE"/>
    <w:rsid w:val="00222A49"/>
    <w:rsid w:val="0022552E"/>
    <w:rsid w:val="00226927"/>
    <w:rsid w:val="00227E68"/>
    <w:rsid w:val="002305BB"/>
    <w:rsid w:val="00232F7C"/>
    <w:rsid w:val="00234B53"/>
    <w:rsid w:val="00236CB0"/>
    <w:rsid w:val="00261247"/>
    <w:rsid w:val="00264652"/>
    <w:rsid w:val="0026674F"/>
    <w:rsid w:val="00280071"/>
    <w:rsid w:val="00282084"/>
    <w:rsid w:val="00291052"/>
    <w:rsid w:val="002A12EA"/>
    <w:rsid w:val="002A362A"/>
    <w:rsid w:val="002A506B"/>
    <w:rsid w:val="002B57CC"/>
    <w:rsid w:val="002B5E79"/>
    <w:rsid w:val="002B7A70"/>
    <w:rsid w:val="002C0859"/>
    <w:rsid w:val="002C4D0D"/>
    <w:rsid w:val="002D72BF"/>
    <w:rsid w:val="002E7098"/>
    <w:rsid w:val="002F1947"/>
    <w:rsid w:val="00306D94"/>
    <w:rsid w:val="003125DF"/>
    <w:rsid w:val="00320E5E"/>
    <w:rsid w:val="00322418"/>
    <w:rsid w:val="003306BB"/>
    <w:rsid w:val="00330A0B"/>
    <w:rsid w:val="0033173C"/>
    <w:rsid w:val="00333C96"/>
    <w:rsid w:val="00335736"/>
    <w:rsid w:val="003563D2"/>
    <w:rsid w:val="00356E51"/>
    <w:rsid w:val="003625E1"/>
    <w:rsid w:val="0036496A"/>
    <w:rsid w:val="00370552"/>
    <w:rsid w:val="00371154"/>
    <w:rsid w:val="00373E9A"/>
    <w:rsid w:val="00376FA5"/>
    <w:rsid w:val="00397727"/>
    <w:rsid w:val="003A1479"/>
    <w:rsid w:val="003A1813"/>
    <w:rsid w:val="003A18F3"/>
    <w:rsid w:val="003A7F42"/>
    <w:rsid w:val="003B7D82"/>
    <w:rsid w:val="003C155A"/>
    <w:rsid w:val="003C4644"/>
    <w:rsid w:val="003C5BE3"/>
    <w:rsid w:val="003D7664"/>
    <w:rsid w:val="003E65E1"/>
    <w:rsid w:val="003F17D9"/>
    <w:rsid w:val="004108DD"/>
    <w:rsid w:val="00413A7C"/>
    <w:rsid w:val="004141DD"/>
    <w:rsid w:val="004203C4"/>
    <w:rsid w:val="00423CBA"/>
    <w:rsid w:val="004256C6"/>
    <w:rsid w:val="0043108D"/>
    <w:rsid w:val="00442367"/>
    <w:rsid w:val="00443DC4"/>
    <w:rsid w:val="0045174F"/>
    <w:rsid w:val="00451DFE"/>
    <w:rsid w:val="00455859"/>
    <w:rsid w:val="00461804"/>
    <w:rsid w:val="00461D4C"/>
    <w:rsid w:val="004643F7"/>
    <w:rsid w:val="00466810"/>
    <w:rsid w:val="0047226C"/>
    <w:rsid w:val="0047706A"/>
    <w:rsid w:val="004816B5"/>
    <w:rsid w:val="00483DD2"/>
    <w:rsid w:val="00494E6F"/>
    <w:rsid w:val="004A1B4D"/>
    <w:rsid w:val="004A5287"/>
    <w:rsid w:val="004A58DD"/>
    <w:rsid w:val="004A6119"/>
    <w:rsid w:val="004A7811"/>
    <w:rsid w:val="004B20DD"/>
    <w:rsid w:val="004B2425"/>
    <w:rsid w:val="004B47DC"/>
    <w:rsid w:val="004B5CDD"/>
    <w:rsid w:val="004D2FE2"/>
    <w:rsid w:val="004E3DF6"/>
    <w:rsid w:val="004E75B3"/>
    <w:rsid w:val="004F04BA"/>
    <w:rsid w:val="004F0EFF"/>
    <w:rsid w:val="0050093F"/>
    <w:rsid w:val="005015B9"/>
    <w:rsid w:val="0050550B"/>
    <w:rsid w:val="00514788"/>
    <w:rsid w:val="00522D9D"/>
    <w:rsid w:val="00526688"/>
    <w:rsid w:val="00542C80"/>
    <w:rsid w:val="00543703"/>
    <w:rsid w:val="0054371B"/>
    <w:rsid w:val="00550945"/>
    <w:rsid w:val="00550E35"/>
    <w:rsid w:val="005647C9"/>
    <w:rsid w:val="0056615E"/>
    <w:rsid w:val="005666F2"/>
    <w:rsid w:val="0057090D"/>
    <w:rsid w:val="00571E87"/>
    <w:rsid w:val="0057515F"/>
    <w:rsid w:val="0058227B"/>
    <w:rsid w:val="005A251E"/>
    <w:rsid w:val="005B2DDF"/>
    <w:rsid w:val="005B4AE7"/>
    <w:rsid w:val="005B53B0"/>
    <w:rsid w:val="005C16D8"/>
    <w:rsid w:val="005C2282"/>
    <w:rsid w:val="005C2B90"/>
    <w:rsid w:val="005D4207"/>
    <w:rsid w:val="005D4525"/>
    <w:rsid w:val="005D45B3"/>
    <w:rsid w:val="005E122F"/>
    <w:rsid w:val="005E3FC1"/>
    <w:rsid w:val="005F6005"/>
    <w:rsid w:val="00601B3F"/>
    <w:rsid w:val="006064AB"/>
    <w:rsid w:val="00621BD2"/>
    <w:rsid w:val="00622BB5"/>
    <w:rsid w:val="006355D9"/>
    <w:rsid w:val="00635DE0"/>
    <w:rsid w:val="00652D74"/>
    <w:rsid w:val="00655345"/>
    <w:rsid w:val="00656400"/>
    <w:rsid w:val="0065683E"/>
    <w:rsid w:val="006575CB"/>
    <w:rsid w:val="00672536"/>
    <w:rsid w:val="00681D20"/>
    <w:rsid w:val="00681EDC"/>
    <w:rsid w:val="00683D66"/>
    <w:rsid w:val="0068649F"/>
    <w:rsid w:val="00687189"/>
    <w:rsid w:val="00697CCC"/>
    <w:rsid w:val="006A4987"/>
    <w:rsid w:val="006B0634"/>
    <w:rsid w:val="006B13B7"/>
    <w:rsid w:val="006B2942"/>
    <w:rsid w:val="006B3994"/>
    <w:rsid w:val="006B48BB"/>
    <w:rsid w:val="006C0E45"/>
    <w:rsid w:val="006C3055"/>
    <w:rsid w:val="006C3FFC"/>
    <w:rsid w:val="006D4829"/>
    <w:rsid w:val="006E18EC"/>
    <w:rsid w:val="006F3B38"/>
    <w:rsid w:val="006F5B95"/>
    <w:rsid w:val="007137A4"/>
    <w:rsid w:val="00722723"/>
    <w:rsid w:val="0072353D"/>
    <w:rsid w:val="00736036"/>
    <w:rsid w:val="00743D26"/>
    <w:rsid w:val="0074778B"/>
    <w:rsid w:val="007678DE"/>
    <w:rsid w:val="0077159A"/>
    <w:rsid w:val="0077225E"/>
    <w:rsid w:val="00781B65"/>
    <w:rsid w:val="007857F7"/>
    <w:rsid w:val="00793F48"/>
    <w:rsid w:val="007A2384"/>
    <w:rsid w:val="007A782E"/>
    <w:rsid w:val="007B35B2"/>
    <w:rsid w:val="007B4F69"/>
    <w:rsid w:val="007C61EA"/>
    <w:rsid w:val="007D1FFF"/>
    <w:rsid w:val="007D42A0"/>
    <w:rsid w:val="007E685C"/>
    <w:rsid w:val="007F342F"/>
    <w:rsid w:val="007F6108"/>
    <w:rsid w:val="007F7097"/>
    <w:rsid w:val="008046F8"/>
    <w:rsid w:val="00806678"/>
    <w:rsid w:val="008067A6"/>
    <w:rsid w:val="008140CC"/>
    <w:rsid w:val="00816BCE"/>
    <w:rsid w:val="008251B3"/>
    <w:rsid w:val="00834122"/>
    <w:rsid w:val="0084174E"/>
    <w:rsid w:val="0084377C"/>
    <w:rsid w:val="00844F1D"/>
    <w:rsid w:val="0084749F"/>
    <w:rsid w:val="00853656"/>
    <w:rsid w:val="00855561"/>
    <w:rsid w:val="00864202"/>
    <w:rsid w:val="00880BEE"/>
    <w:rsid w:val="00882642"/>
    <w:rsid w:val="00883C10"/>
    <w:rsid w:val="008944E5"/>
    <w:rsid w:val="008A4350"/>
    <w:rsid w:val="008B5443"/>
    <w:rsid w:val="008B5AC9"/>
    <w:rsid w:val="008B7A1E"/>
    <w:rsid w:val="008C7EEB"/>
    <w:rsid w:val="008D0DEF"/>
    <w:rsid w:val="008D2256"/>
    <w:rsid w:val="008D5E3D"/>
    <w:rsid w:val="008D652C"/>
    <w:rsid w:val="008E09D4"/>
    <w:rsid w:val="008E7B86"/>
    <w:rsid w:val="008F0054"/>
    <w:rsid w:val="008F7133"/>
    <w:rsid w:val="009034E1"/>
    <w:rsid w:val="00905BC6"/>
    <w:rsid w:val="0090737A"/>
    <w:rsid w:val="00915D6C"/>
    <w:rsid w:val="00923854"/>
    <w:rsid w:val="00926739"/>
    <w:rsid w:val="00934729"/>
    <w:rsid w:val="00936257"/>
    <w:rsid w:val="0094786F"/>
    <w:rsid w:val="00952577"/>
    <w:rsid w:val="0096108C"/>
    <w:rsid w:val="00963BA0"/>
    <w:rsid w:val="00967764"/>
    <w:rsid w:val="009810EE"/>
    <w:rsid w:val="009837DB"/>
    <w:rsid w:val="00984CC9"/>
    <w:rsid w:val="00990E51"/>
    <w:rsid w:val="0099233F"/>
    <w:rsid w:val="009A009F"/>
    <w:rsid w:val="009A1A5C"/>
    <w:rsid w:val="009B54A0"/>
    <w:rsid w:val="009C5531"/>
    <w:rsid w:val="009C6405"/>
    <w:rsid w:val="009C6633"/>
    <w:rsid w:val="009D3310"/>
    <w:rsid w:val="009D6407"/>
    <w:rsid w:val="009E3192"/>
    <w:rsid w:val="009F6B2C"/>
    <w:rsid w:val="00A10E65"/>
    <w:rsid w:val="00A1446B"/>
    <w:rsid w:val="00A30799"/>
    <w:rsid w:val="00A32126"/>
    <w:rsid w:val="00A32BCF"/>
    <w:rsid w:val="00A34EE2"/>
    <w:rsid w:val="00A44D98"/>
    <w:rsid w:val="00A476C1"/>
    <w:rsid w:val="00A57FE8"/>
    <w:rsid w:val="00A64ECE"/>
    <w:rsid w:val="00A653FE"/>
    <w:rsid w:val="00A66185"/>
    <w:rsid w:val="00A67CBF"/>
    <w:rsid w:val="00A7109C"/>
    <w:rsid w:val="00A7116B"/>
    <w:rsid w:val="00A71CAD"/>
    <w:rsid w:val="00A731A2"/>
    <w:rsid w:val="00A77B46"/>
    <w:rsid w:val="00A827B0"/>
    <w:rsid w:val="00A827C1"/>
    <w:rsid w:val="00A835DA"/>
    <w:rsid w:val="00A92AFF"/>
    <w:rsid w:val="00A93F40"/>
    <w:rsid w:val="00A96F93"/>
    <w:rsid w:val="00AB1F46"/>
    <w:rsid w:val="00AB65FF"/>
    <w:rsid w:val="00AD0E4F"/>
    <w:rsid w:val="00AD122F"/>
    <w:rsid w:val="00AD39DA"/>
    <w:rsid w:val="00AD405F"/>
    <w:rsid w:val="00AD5C07"/>
    <w:rsid w:val="00AD5DFE"/>
    <w:rsid w:val="00AE5772"/>
    <w:rsid w:val="00AF1556"/>
    <w:rsid w:val="00AF22AD"/>
    <w:rsid w:val="00AF5107"/>
    <w:rsid w:val="00B03AA2"/>
    <w:rsid w:val="00B06264"/>
    <w:rsid w:val="00B06797"/>
    <w:rsid w:val="00B077F9"/>
    <w:rsid w:val="00B07C8F"/>
    <w:rsid w:val="00B126D9"/>
    <w:rsid w:val="00B16C53"/>
    <w:rsid w:val="00B17BE9"/>
    <w:rsid w:val="00B21096"/>
    <w:rsid w:val="00B275D4"/>
    <w:rsid w:val="00B3371D"/>
    <w:rsid w:val="00B437C8"/>
    <w:rsid w:val="00B51673"/>
    <w:rsid w:val="00B61EE6"/>
    <w:rsid w:val="00B75051"/>
    <w:rsid w:val="00B77CC5"/>
    <w:rsid w:val="00B859DE"/>
    <w:rsid w:val="00B921B3"/>
    <w:rsid w:val="00BA45E2"/>
    <w:rsid w:val="00BB1BD0"/>
    <w:rsid w:val="00BB426F"/>
    <w:rsid w:val="00BC3C7C"/>
    <w:rsid w:val="00BC6B61"/>
    <w:rsid w:val="00BD06AA"/>
    <w:rsid w:val="00BD0E59"/>
    <w:rsid w:val="00BE0288"/>
    <w:rsid w:val="00BE03D9"/>
    <w:rsid w:val="00BE0C59"/>
    <w:rsid w:val="00BE3444"/>
    <w:rsid w:val="00BE7DB0"/>
    <w:rsid w:val="00BF13DD"/>
    <w:rsid w:val="00C03007"/>
    <w:rsid w:val="00C05A8E"/>
    <w:rsid w:val="00C12D2F"/>
    <w:rsid w:val="00C14AC5"/>
    <w:rsid w:val="00C22048"/>
    <w:rsid w:val="00C2537F"/>
    <w:rsid w:val="00C277A8"/>
    <w:rsid w:val="00C309AE"/>
    <w:rsid w:val="00C365CE"/>
    <w:rsid w:val="00C417EB"/>
    <w:rsid w:val="00C45802"/>
    <w:rsid w:val="00C52100"/>
    <w:rsid w:val="00C528AE"/>
    <w:rsid w:val="00C52E22"/>
    <w:rsid w:val="00C81EC0"/>
    <w:rsid w:val="00C87E0E"/>
    <w:rsid w:val="00C90830"/>
    <w:rsid w:val="00CA1782"/>
    <w:rsid w:val="00CA5D23"/>
    <w:rsid w:val="00CB60A0"/>
    <w:rsid w:val="00CC01EB"/>
    <w:rsid w:val="00CC62D6"/>
    <w:rsid w:val="00CD0D9C"/>
    <w:rsid w:val="00CE0FEE"/>
    <w:rsid w:val="00CE45B0"/>
    <w:rsid w:val="00CF1393"/>
    <w:rsid w:val="00CF4F3A"/>
    <w:rsid w:val="00D0014D"/>
    <w:rsid w:val="00D16523"/>
    <w:rsid w:val="00D20505"/>
    <w:rsid w:val="00D2202F"/>
    <w:rsid w:val="00D22819"/>
    <w:rsid w:val="00D23B12"/>
    <w:rsid w:val="00D25056"/>
    <w:rsid w:val="00D33929"/>
    <w:rsid w:val="00D410DA"/>
    <w:rsid w:val="00D511F0"/>
    <w:rsid w:val="00D54EE5"/>
    <w:rsid w:val="00D57B68"/>
    <w:rsid w:val="00D6065F"/>
    <w:rsid w:val="00D63F82"/>
    <w:rsid w:val="00D640FC"/>
    <w:rsid w:val="00D70F7D"/>
    <w:rsid w:val="00D761F7"/>
    <w:rsid w:val="00D91FF4"/>
    <w:rsid w:val="00D92929"/>
    <w:rsid w:val="00D93C2E"/>
    <w:rsid w:val="00D970A5"/>
    <w:rsid w:val="00DA624C"/>
    <w:rsid w:val="00DB28B8"/>
    <w:rsid w:val="00DB2D9E"/>
    <w:rsid w:val="00DB3D9A"/>
    <w:rsid w:val="00DB4967"/>
    <w:rsid w:val="00DB58EE"/>
    <w:rsid w:val="00DB6463"/>
    <w:rsid w:val="00DC1A1C"/>
    <w:rsid w:val="00DC22CF"/>
    <w:rsid w:val="00DE4AE1"/>
    <w:rsid w:val="00DE50CB"/>
    <w:rsid w:val="00E02125"/>
    <w:rsid w:val="00E206AE"/>
    <w:rsid w:val="00E20F02"/>
    <w:rsid w:val="00E21F4A"/>
    <w:rsid w:val="00E229C1"/>
    <w:rsid w:val="00E23397"/>
    <w:rsid w:val="00E27B3C"/>
    <w:rsid w:val="00E32CD7"/>
    <w:rsid w:val="00E37DF5"/>
    <w:rsid w:val="00E406F5"/>
    <w:rsid w:val="00E40EEE"/>
    <w:rsid w:val="00E44EE1"/>
    <w:rsid w:val="00E5241D"/>
    <w:rsid w:val="00E55EE8"/>
    <w:rsid w:val="00E5680C"/>
    <w:rsid w:val="00E61A16"/>
    <w:rsid w:val="00E652FC"/>
    <w:rsid w:val="00E7358D"/>
    <w:rsid w:val="00E76267"/>
    <w:rsid w:val="00E767E9"/>
    <w:rsid w:val="00E836C5"/>
    <w:rsid w:val="00EA535B"/>
    <w:rsid w:val="00EA6A1A"/>
    <w:rsid w:val="00EB5A4C"/>
    <w:rsid w:val="00EC579D"/>
    <w:rsid w:val="00ED13FC"/>
    <w:rsid w:val="00ED5BDC"/>
    <w:rsid w:val="00ED7DAC"/>
    <w:rsid w:val="00EE0FE3"/>
    <w:rsid w:val="00EE5ED2"/>
    <w:rsid w:val="00F01E24"/>
    <w:rsid w:val="00F067A6"/>
    <w:rsid w:val="00F11016"/>
    <w:rsid w:val="00F11F9E"/>
    <w:rsid w:val="00F13906"/>
    <w:rsid w:val="00F20B25"/>
    <w:rsid w:val="00F212F3"/>
    <w:rsid w:val="00F25C0E"/>
    <w:rsid w:val="00F278C3"/>
    <w:rsid w:val="00F319CE"/>
    <w:rsid w:val="00F32926"/>
    <w:rsid w:val="00F3559F"/>
    <w:rsid w:val="00F55100"/>
    <w:rsid w:val="00F63F67"/>
    <w:rsid w:val="00F70C03"/>
    <w:rsid w:val="00F9084A"/>
    <w:rsid w:val="00F97559"/>
    <w:rsid w:val="00FB25D1"/>
    <w:rsid w:val="00FB6E40"/>
    <w:rsid w:val="00FC77B5"/>
    <w:rsid w:val="00FD1CCB"/>
    <w:rsid w:val="00FD5BF8"/>
    <w:rsid w:val="00FD5CD2"/>
    <w:rsid w:val="00FE199A"/>
    <w:rsid w:val="00FE270A"/>
    <w:rsid w:val="00FE299A"/>
    <w:rsid w:val="00FF4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2"/>
    </o:shapelayout>
  </w:shapeDefaults>
  <w:decimalSymbol w:val="."/>
  <w:listSeparator w:val=","/>
  <w14:docId w14:val="2158DF57"/>
  <w15:chartTrackingRefBased/>
  <w15:docId w15:val="{D298BF31-EA5D-4A96-BE1D-C2D6CB20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kern w:val="2"/>
        <w:sz w:val="22"/>
        <w:szCs w:val="22"/>
        <w:lang w:val="en-US" w:eastAsia="en-US" w:bidi="en-US"/>
        <w14:ligatures w14:val="standardContextual"/>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37DB"/>
    <w:pPr>
      <w:spacing w:before="200" w:after="200"/>
    </w:pPr>
  </w:style>
  <w:style w:type="paragraph" w:styleId="Heading1">
    <w:name w:val="heading 1"/>
    <w:next w:val="Normal"/>
    <w:link w:val="Heading1Char"/>
    <w:uiPriority w:val="1"/>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B3371D"/>
    <w:pPr>
      <w:keepNext/>
      <w:spacing w:before="240" w:after="120"/>
      <w:outlineLvl w:val="3"/>
    </w:pPr>
    <w:rPr>
      <w:rFonts w:eastAsiaTheme="majorEastAsia" w:cstheme="majorBidi"/>
      <w:b/>
      <w:sz w:val="24"/>
      <w:szCs w:val="24"/>
    </w:rPr>
  </w:style>
  <w:style w:type="paragraph" w:styleId="Heading5">
    <w:name w:val="heading 5"/>
    <w:basedOn w:val="Normal"/>
    <w:next w:val="Normal"/>
    <w:link w:val="Heading5Char"/>
    <w:uiPriority w:val="1"/>
    <w:unhideWhenUsed/>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4786F"/>
    <w:rPr>
      <w:b/>
      <w:color w:val="003865"/>
      <w:sz w:val="40"/>
      <w:szCs w:val="40"/>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B3371D"/>
    <w:rPr>
      <w:rFonts w:eastAsiaTheme="majorEastAsia" w:cstheme="majorBidi"/>
      <w:b/>
      <w:sz w:val="24"/>
      <w:szCs w:val="24"/>
    </w:rPr>
  </w:style>
  <w:style w:type="character" w:customStyle="1" w:styleId="Heading5Char">
    <w:name w:val="Heading 5 Char"/>
    <w:basedOn w:val="DefaultParagraphFont"/>
    <w:link w:val="Heading5"/>
    <w:uiPriority w:val="1"/>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uiPriority w:val="1"/>
    <w:qFormat/>
    <w:rsid w:val="0094786F"/>
    <w:pPr>
      <w:numPr>
        <w:numId w:val="27"/>
      </w:numPr>
      <w:tabs>
        <w:tab w:val="num" w:pos="360"/>
      </w:tabs>
      <w:ind w:left="0" w:firstLine="0"/>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Title">
    <w:name w:val="Title"/>
    <w:basedOn w:val="Normal"/>
    <w:next w:val="Normal"/>
    <w:link w:val="TitleChar"/>
    <w:uiPriority w:val="10"/>
    <w:rsid w:val="00F01E24"/>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E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rsid w:val="00F01E24"/>
    <w:pPr>
      <w:numPr>
        <w:ilvl w:val="1"/>
      </w:numPr>
      <w:spacing w:after="160"/>
    </w:pPr>
    <w:rPr>
      <w:rFonts w:asciiTheme="minorHAnsi" w:eastAsiaTheme="majorEastAsia" w:hAnsiTheme="minorHAnsi" w:cstheme="majorBidi"/>
      <w:color w:val="0086F3" w:themeColor="text1" w:themeTint="A6"/>
      <w:spacing w:val="15"/>
      <w:sz w:val="28"/>
      <w:szCs w:val="28"/>
    </w:rPr>
  </w:style>
  <w:style w:type="character" w:customStyle="1" w:styleId="SubtitleChar">
    <w:name w:val="Subtitle Char"/>
    <w:basedOn w:val="DefaultParagraphFont"/>
    <w:link w:val="Subtitle"/>
    <w:uiPriority w:val="11"/>
    <w:semiHidden/>
    <w:rsid w:val="00F01E24"/>
    <w:rPr>
      <w:rFonts w:asciiTheme="minorHAnsi" w:eastAsiaTheme="majorEastAsia" w:hAnsiTheme="minorHAnsi" w:cstheme="majorBidi"/>
      <w:color w:val="0086F3" w:themeColor="text1" w:themeTint="A6"/>
      <w:spacing w:val="15"/>
      <w:sz w:val="28"/>
      <w:szCs w:val="28"/>
    </w:rPr>
  </w:style>
  <w:style w:type="character" w:styleId="IntenseReference">
    <w:name w:val="Intense Reference"/>
    <w:basedOn w:val="DefaultParagraphFont"/>
    <w:uiPriority w:val="34"/>
    <w:rsid w:val="00F01E24"/>
    <w:rPr>
      <w:b/>
      <w:bCs/>
      <w:smallCaps/>
      <w:color w:val="00294B" w:themeColor="accent1" w:themeShade="BF"/>
      <w:spacing w:val="5"/>
    </w:rPr>
  </w:style>
  <w:style w:type="character" w:styleId="UnresolvedMention">
    <w:name w:val="Unresolved Mention"/>
    <w:basedOn w:val="DefaultParagraphFont"/>
    <w:uiPriority w:val="99"/>
    <w:semiHidden/>
    <w:unhideWhenUsed/>
    <w:rsid w:val="0003610E"/>
    <w:rPr>
      <w:color w:val="605E5C"/>
      <w:shd w:val="clear" w:color="auto" w:fill="E1DFDD"/>
    </w:rPr>
  </w:style>
  <w:style w:type="character" w:styleId="CommentReference">
    <w:name w:val="annotation reference"/>
    <w:basedOn w:val="DefaultParagraphFont"/>
    <w:uiPriority w:val="99"/>
    <w:semiHidden/>
    <w:unhideWhenUsed/>
    <w:rsid w:val="0020342E"/>
    <w:rPr>
      <w:sz w:val="16"/>
      <w:szCs w:val="16"/>
    </w:rPr>
  </w:style>
  <w:style w:type="paragraph" w:styleId="CommentText">
    <w:name w:val="annotation text"/>
    <w:basedOn w:val="Normal"/>
    <w:link w:val="CommentTextChar"/>
    <w:uiPriority w:val="99"/>
    <w:unhideWhenUsed/>
    <w:rsid w:val="0020342E"/>
    <w:pPr>
      <w:spacing w:line="240" w:lineRule="auto"/>
    </w:pPr>
    <w:rPr>
      <w:sz w:val="20"/>
      <w:szCs w:val="20"/>
    </w:rPr>
  </w:style>
  <w:style w:type="character" w:customStyle="1" w:styleId="CommentTextChar">
    <w:name w:val="Comment Text Char"/>
    <w:basedOn w:val="DefaultParagraphFont"/>
    <w:link w:val="CommentText"/>
    <w:uiPriority w:val="99"/>
    <w:rsid w:val="0020342E"/>
    <w:rPr>
      <w:sz w:val="20"/>
      <w:szCs w:val="20"/>
    </w:rPr>
  </w:style>
  <w:style w:type="paragraph" w:styleId="CommentSubject">
    <w:name w:val="annotation subject"/>
    <w:basedOn w:val="CommentText"/>
    <w:next w:val="CommentText"/>
    <w:link w:val="CommentSubjectChar"/>
    <w:semiHidden/>
    <w:unhideWhenUsed/>
    <w:rsid w:val="0020342E"/>
    <w:rPr>
      <w:b/>
      <w:bCs/>
    </w:rPr>
  </w:style>
  <w:style w:type="character" w:customStyle="1" w:styleId="CommentSubjectChar">
    <w:name w:val="Comment Subject Char"/>
    <w:basedOn w:val="CommentTextChar"/>
    <w:link w:val="CommentSubject"/>
    <w:semiHidden/>
    <w:rsid w:val="0020342E"/>
    <w:rPr>
      <w:b/>
      <w:bCs/>
      <w:sz w:val="20"/>
      <w:szCs w:val="20"/>
    </w:rPr>
  </w:style>
  <w:style w:type="paragraph" w:styleId="Header">
    <w:name w:val="header"/>
    <w:basedOn w:val="Normal"/>
    <w:link w:val="HeaderChar"/>
    <w:uiPriority w:val="99"/>
    <w:unhideWhenUsed/>
    <w:rsid w:val="004203C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203C4"/>
  </w:style>
  <w:style w:type="paragraph" w:styleId="BodyText">
    <w:name w:val="Body Text"/>
    <w:basedOn w:val="Normal"/>
    <w:link w:val="BodyTextChar"/>
    <w:uiPriority w:val="1"/>
    <w:qFormat/>
    <w:rsid w:val="006B48BB"/>
    <w:pPr>
      <w:widowControl w:val="0"/>
      <w:autoSpaceDE w:val="0"/>
      <w:autoSpaceDN w:val="0"/>
      <w:spacing w:before="0" w:after="0" w:line="240" w:lineRule="auto"/>
      <w:ind w:left="820"/>
    </w:pPr>
    <w:rPr>
      <w:rFonts w:eastAsia="Calibri" w:cs="Calibri"/>
      <w:kern w:val="0"/>
      <w:sz w:val="24"/>
      <w:szCs w:val="24"/>
      <w:lang w:bidi="ar-SA"/>
      <w14:ligatures w14:val="none"/>
    </w:rPr>
  </w:style>
  <w:style w:type="character" w:customStyle="1" w:styleId="BodyTextChar">
    <w:name w:val="Body Text Char"/>
    <w:basedOn w:val="DefaultParagraphFont"/>
    <w:link w:val="BodyText"/>
    <w:uiPriority w:val="1"/>
    <w:rsid w:val="006B48BB"/>
    <w:rPr>
      <w:rFonts w:eastAsia="Calibri" w:cs="Calibri"/>
      <w:kern w:val="0"/>
      <w:sz w:val="24"/>
      <w:szCs w:val="24"/>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28606009">
      <w:bodyDiv w:val="1"/>
      <w:marLeft w:val="0"/>
      <w:marRight w:val="0"/>
      <w:marTop w:val="0"/>
      <w:marBottom w:val="0"/>
      <w:divBdr>
        <w:top w:val="none" w:sz="0" w:space="0" w:color="auto"/>
        <w:left w:val="none" w:sz="0" w:space="0" w:color="auto"/>
        <w:bottom w:val="none" w:sz="0" w:space="0" w:color="auto"/>
        <w:right w:val="none" w:sz="0" w:space="0" w:color="auto"/>
      </w:divBdr>
    </w:div>
    <w:div w:id="37707599">
      <w:bodyDiv w:val="1"/>
      <w:marLeft w:val="0"/>
      <w:marRight w:val="0"/>
      <w:marTop w:val="0"/>
      <w:marBottom w:val="0"/>
      <w:divBdr>
        <w:top w:val="none" w:sz="0" w:space="0" w:color="auto"/>
        <w:left w:val="none" w:sz="0" w:space="0" w:color="auto"/>
        <w:bottom w:val="none" w:sz="0" w:space="0" w:color="auto"/>
        <w:right w:val="none" w:sz="0" w:space="0" w:color="auto"/>
      </w:divBdr>
    </w:div>
    <w:div w:id="50620497">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66196780">
      <w:bodyDiv w:val="1"/>
      <w:marLeft w:val="0"/>
      <w:marRight w:val="0"/>
      <w:marTop w:val="0"/>
      <w:marBottom w:val="0"/>
      <w:divBdr>
        <w:top w:val="none" w:sz="0" w:space="0" w:color="auto"/>
        <w:left w:val="none" w:sz="0" w:space="0" w:color="auto"/>
        <w:bottom w:val="none" w:sz="0" w:space="0" w:color="auto"/>
        <w:right w:val="none" w:sz="0" w:space="0" w:color="auto"/>
      </w:divBdr>
    </w:div>
    <w:div w:id="68967487">
      <w:bodyDiv w:val="1"/>
      <w:marLeft w:val="0"/>
      <w:marRight w:val="0"/>
      <w:marTop w:val="0"/>
      <w:marBottom w:val="0"/>
      <w:divBdr>
        <w:top w:val="none" w:sz="0" w:space="0" w:color="auto"/>
        <w:left w:val="none" w:sz="0" w:space="0" w:color="auto"/>
        <w:bottom w:val="none" w:sz="0" w:space="0" w:color="auto"/>
        <w:right w:val="none" w:sz="0" w:space="0" w:color="auto"/>
      </w:divBdr>
    </w:div>
    <w:div w:id="104548513">
      <w:bodyDiv w:val="1"/>
      <w:marLeft w:val="0"/>
      <w:marRight w:val="0"/>
      <w:marTop w:val="0"/>
      <w:marBottom w:val="0"/>
      <w:divBdr>
        <w:top w:val="none" w:sz="0" w:space="0" w:color="auto"/>
        <w:left w:val="none" w:sz="0" w:space="0" w:color="auto"/>
        <w:bottom w:val="none" w:sz="0" w:space="0" w:color="auto"/>
        <w:right w:val="none" w:sz="0" w:space="0" w:color="auto"/>
      </w:divBdr>
    </w:div>
    <w:div w:id="112486373">
      <w:bodyDiv w:val="1"/>
      <w:marLeft w:val="0"/>
      <w:marRight w:val="0"/>
      <w:marTop w:val="0"/>
      <w:marBottom w:val="0"/>
      <w:divBdr>
        <w:top w:val="none" w:sz="0" w:space="0" w:color="auto"/>
        <w:left w:val="none" w:sz="0" w:space="0" w:color="auto"/>
        <w:bottom w:val="none" w:sz="0" w:space="0" w:color="auto"/>
        <w:right w:val="none" w:sz="0" w:space="0" w:color="auto"/>
      </w:divBdr>
    </w:div>
    <w:div w:id="155071133">
      <w:bodyDiv w:val="1"/>
      <w:marLeft w:val="0"/>
      <w:marRight w:val="0"/>
      <w:marTop w:val="0"/>
      <w:marBottom w:val="0"/>
      <w:divBdr>
        <w:top w:val="none" w:sz="0" w:space="0" w:color="auto"/>
        <w:left w:val="none" w:sz="0" w:space="0" w:color="auto"/>
        <w:bottom w:val="none" w:sz="0" w:space="0" w:color="auto"/>
        <w:right w:val="none" w:sz="0" w:space="0" w:color="auto"/>
      </w:divBdr>
    </w:div>
    <w:div w:id="163058395">
      <w:bodyDiv w:val="1"/>
      <w:marLeft w:val="0"/>
      <w:marRight w:val="0"/>
      <w:marTop w:val="0"/>
      <w:marBottom w:val="0"/>
      <w:divBdr>
        <w:top w:val="none" w:sz="0" w:space="0" w:color="auto"/>
        <w:left w:val="none" w:sz="0" w:space="0" w:color="auto"/>
        <w:bottom w:val="none" w:sz="0" w:space="0" w:color="auto"/>
        <w:right w:val="none" w:sz="0" w:space="0" w:color="auto"/>
      </w:divBdr>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 w:id="167452041">
      <w:bodyDiv w:val="1"/>
      <w:marLeft w:val="0"/>
      <w:marRight w:val="0"/>
      <w:marTop w:val="0"/>
      <w:marBottom w:val="0"/>
      <w:divBdr>
        <w:top w:val="none" w:sz="0" w:space="0" w:color="auto"/>
        <w:left w:val="none" w:sz="0" w:space="0" w:color="auto"/>
        <w:bottom w:val="none" w:sz="0" w:space="0" w:color="auto"/>
        <w:right w:val="none" w:sz="0" w:space="0" w:color="auto"/>
      </w:divBdr>
    </w:div>
    <w:div w:id="177087608">
      <w:bodyDiv w:val="1"/>
      <w:marLeft w:val="0"/>
      <w:marRight w:val="0"/>
      <w:marTop w:val="0"/>
      <w:marBottom w:val="0"/>
      <w:divBdr>
        <w:top w:val="none" w:sz="0" w:space="0" w:color="auto"/>
        <w:left w:val="none" w:sz="0" w:space="0" w:color="auto"/>
        <w:bottom w:val="none" w:sz="0" w:space="0" w:color="auto"/>
        <w:right w:val="none" w:sz="0" w:space="0" w:color="auto"/>
      </w:divBdr>
    </w:div>
    <w:div w:id="430470590">
      <w:bodyDiv w:val="1"/>
      <w:marLeft w:val="0"/>
      <w:marRight w:val="0"/>
      <w:marTop w:val="0"/>
      <w:marBottom w:val="0"/>
      <w:divBdr>
        <w:top w:val="none" w:sz="0" w:space="0" w:color="auto"/>
        <w:left w:val="none" w:sz="0" w:space="0" w:color="auto"/>
        <w:bottom w:val="none" w:sz="0" w:space="0" w:color="auto"/>
        <w:right w:val="none" w:sz="0" w:space="0" w:color="auto"/>
      </w:divBdr>
    </w:div>
    <w:div w:id="461772892">
      <w:bodyDiv w:val="1"/>
      <w:marLeft w:val="0"/>
      <w:marRight w:val="0"/>
      <w:marTop w:val="0"/>
      <w:marBottom w:val="0"/>
      <w:divBdr>
        <w:top w:val="none" w:sz="0" w:space="0" w:color="auto"/>
        <w:left w:val="none" w:sz="0" w:space="0" w:color="auto"/>
        <w:bottom w:val="none" w:sz="0" w:space="0" w:color="auto"/>
        <w:right w:val="none" w:sz="0" w:space="0" w:color="auto"/>
      </w:divBdr>
    </w:div>
    <w:div w:id="601686310">
      <w:bodyDiv w:val="1"/>
      <w:marLeft w:val="0"/>
      <w:marRight w:val="0"/>
      <w:marTop w:val="0"/>
      <w:marBottom w:val="0"/>
      <w:divBdr>
        <w:top w:val="none" w:sz="0" w:space="0" w:color="auto"/>
        <w:left w:val="none" w:sz="0" w:space="0" w:color="auto"/>
        <w:bottom w:val="none" w:sz="0" w:space="0" w:color="auto"/>
        <w:right w:val="none" w:sz="0" w:space="0" w:color="auto"/>
      </w:divBdr>
    </w:div>
    <w:div w:id="610623136">
      <w:bodyDiv w:val="1"/>
      <w:marLeft w:val="0"/>
      <w:marRight w:val="0"/>
      <w:marTop w:val="0"/>
      <w:marBottom w:val="0"/>
      <w:divBdr>
        <w:top w:val="none" w:sz="0" w:space="0" w:color="auto"/>
        <w:left w:val="none" w:sz="0" w:space="0" w:color="auto"/>
        <w:bottom w:val="none" w:sz="0" w:space="0" w:color="auto"/>
        <w:right w:val="none" w:sz="0" w:space="0" w:color="auto"/>
      </w:divBdr>
    </w:div>
    <w:div w:id="617100720">
      <w:bodyDiv w:val="1"/>
      <w:marLeft w:val="0"/>
      <w:marRight w:val="0"/>
      <w:marTop w:val="0"/>
      <w:marBottom w:val="0"/>
      <w:divBdr>
        <w:top w:val="none" w:sz="0" w:space="0" w:color="auto"/>
        <w:left w:val="none" w:sz="0" w:space="0" w:color="auto"/>
        <w:bottom w:val="none" w:sz="0" w:space="0" w:color="auto"/>
        <w:right w:val="none" w:sz="0" w:space="0" w:color="auto"/>
      </w:divBdr>
    </w:div>
    <w:div w:id="642849175">
      <w:bodyDiv w:val="1"/>
      <w:marLeft w:val="0"/>
      <w:marRight w:val="0"/>
      <w:marTop w:val="0"/>
      <w:marBottom w:val="0"/>
      <w:divBdr>
        <w:top w:val="none" w:sz="0" w:space="0" w:color="auto"/>
        <w:left w:val="none" w:sz="0" w:space="0" w:color="auto"/>
        <w:bottom w:val="none" w:sz="0" w:space="0" w:color="auto"/>
        <w:right w:val="none" w:sz="0" w:space="0" w:color="auto"/>
      </w:divBdr>
    </w:div>
    <w:div w:id="732191447">
      <w:bodyDiv w:val="1"/>
      <w:marLeft w:val="0"/>
      <w:marRight w:val="0"/>
      <w:marTop w:val="0"/>
      <w:marBottom w:val="0"/>
      <w:divBdr>
        <w:top w:val="none" w:sz="0" w:space="0" w:color="auto"/>
        <w:left w:val="none" w:sz="0" w:space="0" w:color="auto"/>
        <w:bottom w:val="none" w:sz="0" w:space="0" w:color="auto"/>
        <w:right w:val="none" w:sz="0" w:space="0" w:color="auto"/>
      </w:divBdr>
    </w:div>
    <w:div w:id="749733201">
      <w:bodyDiv w:val="1"/>
      <w:marLeft w:val="0"/>
      <w:marRight w:val="0"/>
      <w:marTop w:val="0"/>
      <w:marBottom w:val="0"/>
      <w:divBdr>
        <w:top w:val="none" w:sz="0" w:space="0" w:color="auto"/>
        <w:left w:val="none" w:sz="0" w:space="0" w:color="auto"/>
        <w:bottom w:val="none" w:sz="0" w:space="0" w:color="auto"/>
        <w:right w:val="none" w:sz="0" w:space="0" w:color="auto"/>
      </w:divBdr>
    </w:div>
    <w:div w:id="861436824">
      <w:bodyDiv w:val="1"/>
      <w:marLeft w:val="0"/>
      <w:marRight w:val="0"/>
      <w:marTop w:val="0"/>
      <w:marBottom w:val="0"/>
      <w:divBdr>
        <w:top w:val="none" w:sz="0" w:space="0" w:color="auto"/>
        <w:left w:val="none" w:sz="0" w:space="0" w:color="auto"/>
        <w:bottom w:val="none" w:sz="0" w:space="0" w:color="auto"/>
        <w:right w:val="none" w:sz="0" w:space="0" w:color="auto"/>
      </w:divBdr>
    </w:div>
    <w:div w:id="874124390">
      <w:bodyDiv w:val="1"/>
      <w:marLeft w:val="0"/>
      <w:marRight w:val="0"/>
      <w:marTop w:val="0"/>
      <w:marBottom w:val="0"/>
      <w:divBdr>
        <w:top w:val="none" w:sz="0" w:space="0" w:color="auto"/>
        <w:left w:val="none" w:sz="0" w:space="0" w:color="auto"/>
        <w:bottom w:val="none" w:sz="0" w:space="0" w:color="auto"/>
        <w:right w:val="none" w:sz="0" w:space="0" w:color="auto"/>
      </w:divBdr>
    </w:div>
    <w:div w:id="1063795967">
      <w:bodyDiv w:val="1"/>
      <w:marLeft w:val="0"/>
      <w:marRight w:val="0"/>
      <w:marTop w:val="0"/>
      <w:marBottom w:val="0"/>
      <w:divBdr>
        <w:top w:val="none" w:sz="0" w:space="0" w:color="auto"/>
        <w:left w:val="none" w:sz="0" w:space="0" w:color="auto"/>
        <w:bottom w:val="none" w:sz="0" w:space="0" w:color="auto"/>
        <w:right w:val="none" w:sz="0" w:space="0" w:color="auto"/>
      </w:divBdr>
    </w:div>
    <w:div w:id="1073048487">
      <w:bodyDiv w:val="1"/>
      <w:marLeft w:val="0"/>
      <w:marRight w:val="0"/>
      <w:marTop w:val="0"/>
      <w:marBottom w:val="0"/>
      <w:divBdr>
        <w:top w:val="none" w:sz="0" w:space="0" w:color="auto"/>
        <w:left w:val="none" w:sz="0" w:space="0" w:color="auto"/>
        <w:bottom w:val="none" w:sz="0" w:space="0" w:color="auto"/>
        <w:right w:val="none" w:sz="0" w:space="0" w:color="auto"/>
      </w:divBdr>
    </w:div>
    <w:div w:id="1163660521">
      <w:bodyDiv w:val="1"/>
      <w:marLeft w:val="0"/>
      <w:marRight w:val="0"/>
      <w:marTop w:val="0"/>
      <w:marBottom w:val="0"/>
      <w:divBdr>
        <w:top w:val="none" w:sz="0" w:space="0" w:color="auto"/>
        <w:left w:val="none" w:sz="0" w:space="0" w:color="auto"/>
        <w:bottom w:val="none" w:sz="0" w:space="0" w:color="auto"/>
        <w:right w:val="none" w:sz="0" w:space="0" w:color="auto"/>
      </w:divBdr>
    </w:div>
    <w:div w:id="1195457480">
      <w:bodyDiv w:val="1"/>
      <w:marLeft w:val="0"/>
      <w:marRight w:val="0"/>
      <w:marTop w:val="0"/>
      <w:marBottom w:val="0"/>
      <w:divBdr>
        <w:top w:val="none" w:sz="0" w:space="0" w:color="auto"/>
        <w:left w:val="none" w:sz="0" w:space="0" w:color="auto"/>
        <w:bottom w:val="none" w:sz="0" w:space="0" w:color="auto"/>
        <w:right w:val="none" w:sz="0" w:space="0" w:color="auto"/>
      </w:divBdr>
    </w:div>
    <w:div w:id="1198619696">
      <w:bodyDiv w:val="1"/>
      <w:marLeft w:val="0"/>
      <w:marRight w:val="0"/>
      <w:marTop w:val="0"/>
      <w:marBottom w:val="0"/>
      <w:divBdr>
        <w:top w:val="none" w:sz="0" w:space="0" w:color="auto"/>
        <w:left w:val="none" w:sz="0" w:space="0" w:color="auto"/>
        <w:bottom w:val="none" w:sz="0" w:space="0" w:color="auto"/>
        <w:right w:val="none" w:sz="0" w:space="0" w:color="auto"/>
      </w:divBdr>
    </w:div>
    <w:div w:id="1210801663">
      <w:bodyDiv w:val="1"/>
      <w:marLeft w:val="0"/>
      <w:marRight w:val="0"/>
      <w:marTop w:val="0"/>
      <w:marBottom w:val="0"/>
      <w:divBdr>
        <w:top w:val="none" w:sz="0" w:space="0" w:color="auto"/>
        <w:left w:val="none" w:sz="0" w:space="0" w:color="auto"/>
        <w:bottom w:val="none" w:sz="0" w:space="0" w:color="auto"/>
        <w:right w:val="none" w:sz="0" w:space="0" w:color="auto"/>
      </w:divBdr>
    </w:div>
    <w:div w:id="1214731905">
      <w:bodyDiv w:val="1"/>
      <w:marLeft w:val="0"/>
      <w:marRight w:val="0"/>
      <w:marTop w:val="0"/>
      <w:marBottom w:val="0"/>
      <w:divBdr>
        <w:top w:val="none" w:sz="0" w:space="0" w:color="auto"/>
        <w:left w:val="none" w:sz="0" w:space="0" w:color="auto"/>
        <w:bottom w:val="none" w:sz="0" w:space="0" w:color="auto"/>
        <w:right w:val="none" w:sz="0" w:space="0" w:color="auto"/>
      </w:divBdr>
    </w:div>
    <w:div w:id="1271353334">
      <w:bodyDiv w:val="1"/>
      <w:marLeft w:val="0"/>
      <w:marRight w:val="0"/>
      <w:marTop w:val="0"/>
      <w:marBottom w:val="0"/>
      <w:divBdr>
        <w:top w:val="none" w:sz="0" w:space="0" w:color="auto"/>
        <w:left w:val="none" w:sz="0" w:space="0" w:color="auto"/>
        <w:bottom w:val="none" w:sz="0" w:space="0" w:color="auto"/>
        <w:right w:val="none" w:sz="0" w:space="0" w:color="auto"/>
      </w:divBdr>
    </w:div>
    <w:div w:id="1337339295">
      <w:bodyDiv w:val="1"/>
      <w:marLeft w:val="0"/>
      <w:marRight w:val="0"/>
      <w:marTop w:val="0"/>
      <w:marBottom w:val="0"/>
      <w:divBdr>
        <w:top w:val="none" w:sz="0" w:space="0" w:color="auto"/>
        <w:left w:val="none" w:sz="0" w:space="0" w:color="auto"/>
        <w:bottom w:val="none" w:sz="0" w:space="0" w:color="auto"/>
        <w:right w:val="none" w:sz="0" w:space="0" w:color="auto"/>
      </w:divBdr>
    </w:div>
    <w:div w:id="1365329496">
      <w:bodyDiv w:val="1"/>
      <w:marLeft w:val="0"/>
      <w:marRight w:val="0"/>
      <w:marTop w:val="0"/>
      <w:marBottom w:val="0"/>
      <w:divBdr>
        <w:top w:val="none" w:sz="0" w:space="0" w:color="auto"/>
        <w:left w:val="none" w:sz="0" w:space="0" w:color="auto"/>
        <w:bottom w:val="none" w:sz="0" w:space="0" w:color="auto"/>
        <w:right w:val="none" w:sz="0" w:space="0" w:color="auto"/>
      </w:divBdr>
    </w:div>
    <w:div w:id="1414621776">
      <w:bodyDiv w:val="1"/>
      <w:marLeft w:val="0"/>
      <w:marRight w:val="0"/>
      <w:marTop w:val="0"/>
      <w:marBottom w:val="0"/>
      <w:divBdr>
        <w:top w:val="none" w:sz="0" w:space="0" w:color="auto"/>
        <w:left w:val="none" w:sz="0" w:space="0" w:color="auto"/>
        <w:bottom w:val="none" w:sz="0" w:space="0" w:color="auto"/>
        <w:right w:val="none" w:sz="0" w:space="0" w:color="auto"/>
      </w:divBdr>
    </w:div>
    <w:div w:id="1435248090">
      <w:bodyDiv w:val="1"/>
      <w:marLeft w:val="0"/>
      <w:marRight w:val="0"/>
      <w:marTop w:val="0"/>
      <w:marBottom w:val="0"/>
      <w:divBdr>
        <w:top w:val="none" w:sz="0" w:space="0" w:color="auto"/>
        <w:left w:val="none" w:sz="0" w:space="0" w:color="auto"/>
        <w:bottom w:val="none" w:sz="0" w:space="0" w:color="auto"/>
        <w:right w:val="none" w:sz="0" w:space="0" w:color="auto"/>
      </w:divBdr>
    </w:div>
    <w:div w:id="1441560254">
      <w:bodyDiv w:val="1"/>
      <w:marLeft w:val="0"/>
      <w:marRight w:val="0"/>
      <w:marTop w:val="0"/>
      <w:marBottom w:val="0"/>
      <w:divBdr>
        <w:top w:val="none" w:sz="0" w:space="0" w:color="auto"/>
        <w:left w:val="none" w:sz="0" w:space="0" w:color="auto"/>
        <w:bottom w:val="none" w:sz="0" w:space="0" w:color="auto"/>
        <w:right w:val="none" w:sz="0" w:space="0" w:color="auto"/>
      </w:divBdr>
    </w:div>
    <w:div w:id="1536770981">
      <w:bodyDiv w:val="1"/>
      <w:marLeft w:val="0"/>
      <w:marRight w:val="0"/>
      <w:marTop w:val="0"/>
      <w:marBottom w:val="0"/>
      <w:divBdr>
        <w:top w:val="none" w:sz="0" w:space="0" w:color="auto"/>
        <w:left w:val="none" w:sz="0" w:space="0" w:color="auto"/>
        <w:bottom w:val="none" w:sz="0" w:space="0" w:color="auto"/>
        <w:right w:val="none" w:sz="0" w:space="0" w:color="auto"/>
      </w:divBdr>
    </w:div>
    <w:div w:id="1565944363">
      <w:bodyDiv w:val="1"/>
      <w:marLeft w:val="0"/>
      <w:marRight w:val="0"/>
      <w:marTop w:val="0"/>
      <w:marBottom w:val="0"/>
      <w:divBdr>
        <w:top w:val="none" w:sz="0" w:space="0" w:color="auto"/>
        <w:left w:val="none" w:sz="0" w:space="0" w:color="auto"/>
        <w:bottom w:val="none" w:sz="0" w:space="0" w:color="auto"/>
        <w:right w:val="none" w:sz="0" w:space="0" w:color="auto"/>
      </w:divBdr>
    </w:div>
    <w:div w:id="1628659973">
      <w:bodyDiv w:val="1"/>
      <w:marLeft w:val="0"/>
      <w:marRight w:val="0"/>
      <w:marTop w:val="0"/>
      <w:marBottom w:val="0"/>
      <w:divBdr>
        <w:top w:val="none" w:sz="0" w:space="0" w:color="auto"/>
        <w:left w:val="none" w:sz="0" w:space="0" w:color="auto"/>
        <w:bottom w:val="none" w:sz="0" w:space="0" w:color="auto"/>
        <w:right w:val="none" w:sz="0" w:space="0" w:color="auto"/>
      </w:divBdr>
    </w:div>
    <w:div w:id="1716468912">
      <w:bodyDiv w:val="1"/>
      <w:marLeft w:val="0"/>
      <w:marRight w:val="0"/>
      <w:marTop w:val="0"/>
      <w:marBottom w:val="0"/>
      <w:divBdr>
        <w:top w:val="none" w:sz="0" w:space="0" w:color="auto"/>
        <w:left w:val="none" w:sz="0" w:space="0" w:color="auto"/>
        <w:bottom w:val="none" w:sz="0" w:space="0" w:color="auto"/>
        <w:right w:val="none" w:sz="0" w:space="0" w:color="auto"/>
      </w:divBdr>
    </w:div>
    <w:div w:id="1730881534">
      <w:bodyDiv w:val="1"/>
      <w:marLeft w:val="0"/>
      <w:marRight w:val="0"/>
      <w:marTop w:val="0"/>
      <w:marBottom w:val="0"/>
      <w:divBdr>
        <w:top w:val="none" w:sz="0" w:space="0" w:color="auto"/>
        <w:left w:val="none" w:sz="0" w:space="0" w:color="auto"/>
        <w:bottom w:val="none" w:sz="0" w:space="0" w:color="auto"/>
        <w:right w:val="none" w:sz="0" w:space="0" w:color="auto"/>
      </w:divBdr>
    </w:div>
    <w:div w:id="1745833525">
      <w:bodyDiv w:val="1"/>
      <w:marLeft w:val="0"/>
      <w:marRight w:val="0"/>
      <w:marTop w:val="0"/>
      <w:marBottom w:val="0"/>
      <w:divBdr>
        <w:top w:val="none" w:sz="0" w:space="0" w:color="auto"/>
        <w:left w:val="none" w:sz="0" w:space="0" w:color="auto"/>
        <w:bottom w:val="none" w:sz="0" w:space="0" w:color="auto"/>
        <w:right w:val="none" w:sz="0" w:space="0" w:color="auto"/>
      </w:divBdr>
    </w:div>
    <w:div w:id="1779375707">
      <w:bodyDiv w:val="1"/>
      <w:marLeft w:val="0"/>
      <w:marRight w:val="0"/>
      <w:marTop w:val="0"/>
      <w:marBottom w:val="0"/>
      <w:divBdr>
        <w:top w:val="none" w:sz="0" w:space="0" w:color="auto"/>
        <w:left w:val="none" w:sz="0" w:space="0" w:color="auto"/>
        <w:bottom w:val="none" w:sz="0" w:space="0" w:color="auto"/>
        <w:right w:val="none" w:sz="0" w:space="0" w:color="auto"/>
      </w:divBdr>
    </w:div>
    <w:div w:id="1858960981">
      <w:bodyDiv w:val="1"/>
      <w:marLeft w:val="0"/>
      <w:marRight w:val="0"/>
      <w:marTop w:val="0"/>
      <w:marBottom w:val="0"/>
      <w:divBdr>
        <w:top w:val="none" w:sz="0" w:space="0" w:color="auto"/>
        <w:left w:val="none" w:sz="0" w:space="0" w:color="auto"/>
        <w:bottom w:val="none" w:sz="0" w:space="0" w:color="auto"/>
        <w:right w:val="none" w:sz="0" w:space="0" w:color="auto"/>
      </w:divBdr>
    </w:div>
    <w:div w:id="2005934855">
      <w:bodyDiv w:val="1"/>
      <w:marLeft w:val="0"/>
      <w:marRight w:val="0"/>
      <w:marTop w:val="0"/>
      <w:marBottom w:val="0"/>
      <w:divBdr>
        <w:top w:val="none" w:sz="0" w:space="0" w:color="auto"/>
        <w:left w:val="none" w:sz="0" w:space="0" w:color="auto"/>
        <w:bottom w:val="none" w:sz="0" w:space="0" w:color="auto"/>
        <w:right w:val="none" w:sz="0" w:space="0" w:color="auto"/>
      </w:divBdr>
    </w:div>
    <w:div w:id="206100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visor.mn.gov/statutes/cite/260C.51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visor.mn.gov/statutes/cite/142A.03"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35CD3352A9854F91F6B372079F053A" ma:contentTypeVersion="4" ma:contentTypeDescription="Create a new document." ma:contentTypeScope="" ma:versionID="9a02438e0c707e9dda463f8fd52007f2">
  <xsd:schema xmlns:xsd="http://www.w3.org/2001/XMLSchema" xmlns:xs="http://www.w3.org/2001/XMLSchema" xmlns:p="http://schemas.microsoft.com/office/2006/metadata/properties" xmlns:ns2="e6af69f9-9070-4761-b331-7d3b19e6f13f" targetNamespace="http://schemas.microsoft.com/office/2006/metadata/properties" ma:root="true" ma:fieldsID="6ead657ded49fdde0bca1baa2794c48c" ns2:_="">
    <xsd:import namespace="e6af69f9-9070-4761-b331-7d3b19e6f1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f69f9-9070-4761-b331-7d3b19e6f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029900-99DA-4625-AB67-8EDC4A5F2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f69f9-9070-4761-b331-7d3b19e6f1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B589D9-8D66-4FCF-9041-C500FCC6FA4F}">
  <ds:schemaRefs>
    <ds:schemaRef ds:uri="http://schemas.microsoft.com/office/2006/documentManagement/types"/>
    <ds:schemaRef ds:uri="http://schemas.openxmlformats.org/package/2006/metadata/core-properties"/>
    <ds:schemaRef ds:uri="http://www.w3.org/XML/1998/namespace"/>
    <ds:schemaRef ds:uri="http://purl.org/dc/elements/1.1/"/>
    <ds:schemaRef ds:uri="http://purl.org/dc/terms/"/>
    <ds:schemaRef ds:uri="http://purl.org/dc/dcmitype/"/>
    <ds:schemaRef ds:uri="http://schemas.microsoft.com/office/infopath/2007/PartnerControls"/>
    <ds:schemaRef ds:uri="http://schemas.microsoft.com/office/2006/metadata/properties"/>
    <ds:schemaRef ds:uri="e6af69f9-9070-4761-b331-7d3b19e6f13f"/>
  </ds:schemaRefs>
</ds:datastoreItem>
</file>

<file path=customXml/itemProps3.xml><?xml version="1.0" encoding="utf-8"?>
<ds:datastoreItem xmlns:ds="http://schemas.openxmlformats.org/officeDocument/2006/customXml" ds:itemID="{9BD27E39-CD89-492A-B14D-D659E9168BF6}">
  <ds:schemaRefs>
    <ds:schemaRef ds:uri="http://schemas.openxmlformats.org/officeDocument/2006/bibliography"/>
  </ds:schemaRefs>
</ds:datastoreItem>
</file>

<file path=customXml/itemProps4.xml><?xml version="1.0" encoding="utf-8"?>
<ds:datastoreItem xmlns:ds="http://schemas.openxmlformats.org/officeDocument/2006/customXml" ds:itemID="{01973A18-6D82-449C-A3B4-64F2AE61D3AF}">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8</TotalTime>
  <Pages>10</Pages>
  <Words>4043</Words>
  <Characters>22746</Characters>
  <Application>Microsoft Office Word</Application>
  <DocSecurity>4</DocSecurity>
  <Lines>189</Lines>
  <Paragraphs>53</Paragraphs>
  <ScaleCrop>false</ScaleCrop>
  <HeadingPairs>
    <vt:vector size="2" baseType="variant">
      <vt:variant>
        <vt:lpstr>Title</vt:lpstr>
      </vt:variant>
      <vt:variant>
        <vt:i4>1</vt:i4>
      </vt:variant>
    </vt:vector>
  </HeadingPairs>
  <TitlesOfParts>
    <vt:vector size="1" baseType="lpstr">
      <vt:lpstr>Permanency Services RFP Questions and Answers</vt:lpstr>
    </vt:vector>
  </TitlesOfParts>
  <Company>State of MN</Company>
  <LinksUpToDate>false</LinksUpToDate>
  <CharactersWithSpaces>26736</CharactersWithSpaces>
  <SharedDoc>false</SharedDoc>
  <HLinks>
    <vt:vector size="18" baseType="variant">
      <vt:variant>
        <vt:i4>3801214</vt:i4>
      </vt:variant>
      <vt:variant>
        <vt:i4>6</vt:i4>
      </vt:variant>
      <vt:variant>
        <vt:i4>0</vt:i4>
      </vt:variant>
      <vt:variant>
        <vt:i4>5</vt:i4>
      </vt:variant>
      <vt:variant>
        <vt:lpwstr>https://www.revisor.mn.gov/rules/1205.0200/</vt:lpwstr>
      </vt:variant>
      <vt:variant>
        <vt:lpwstr/>
      </vt:variant>
      <vt:variant>
        <vt:i4>7733370</vt:i4>
      </vt:variant>
      <vt:variant>
        <vt:i4>3</vt:i4>
      </vt:variant>
      <vt:variant>
        <vt:i4>0</vt:i4>
      </vt:variant>
      <vt:variant>
        <vt:i4>5</vt:i4>
      </vt:variant>
      <vt:variant>
        <vt:lpwstr>https://www.revisor.mn.gov/statutes/cite/13.02</vt:lpwstr>
      </vt:variant>
      <vt:variant>
        <vt:lpwstr/>
      </vt:variant>
      <vt:variant>
        <vt:i4>4653082</vt:i4>
      </vt:variant>
      <vt:variant>
        <vt:i4>0</vt:i4>
      </vt:variant>
      <vt:variant>
        <vt:i4>0</vt:i4>
      </vt:variant>
      <vt:variant>
        <vt:i4>5</vt:i4>
      </vt:variant>
      <vt:variant>
        <vt:lpwstr>https://www.revisor.mn.gov/statutes/cite/260C.609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Permanency Services RFP Questions and Answers</dc:title>
  <dc:subject/>
  <dc:creator>Frazier, Michelle</dc:creator>
  <cp:keywords/>
  <dc:description/>
  <cp:lastModifiedBy>Waymire, Emily E (DCYF)</cp:lastModifiedBy>
  <cp:revision>2</cp:revision>
  <dcterms:created xsi:type="dcterms:W3CDTF">2026-03-04T19:30:00Z</dcterms:created>
  <dcterms:modified xsi:type="dcterms:W3CDTF">2026-03-04T19:30:00Z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0x0101005E35CD3352A9854F91F6B372079F053A</vt:lpwstr>
  </property>
</Properties>
</file>